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D9969" w14:textId="77777777" w:rsidR="00140FD8" w:rsidRDefault="00140FD8" w:rsidP="00140FD8">
      <w:pPr>
        <w:pStyle w:val="Title"/>
        <w:spacing w:before="0"/>
        <w:rPr>
          <w:rFonts w:ascii="Times New Roman" w:hAnsi="Times New Roman" w:cs="Times New Roman"/>
        </w:rPr>
      </w:pPr>
    </w:p>
    <w:p w14:paraId="13172A36" w14:textId="77777777" w:rsidR="00140FD8" w:rsidRDefault="00140FD8" w:rsidP="00140FD8">
      <w:pPr>
        <w:pStyle w:val="Title"/>
        <w:spacing w:before="0"/>
        <w:rPr>
          <w:rFonts w:ascii="Times New Roman" w:hAnsi="Times New Roman" w:cs="Times New Roman"/>
        </w:rPr>
      </w:pPr>
    </w:p>
    <w:p w14:paraId="22B13F90" w14:textId="77777777" w:rsidR="003C6938" w:rsidRDefault="003C6938" w:rsidP="00140FD8">
      <w:pPr>
        <w:pStyle w:val="Title"/>
        <w:spacing w:before="0"/>
        <w:rPr>
          <w:rFonts w:ascii="Times New Roman" w:hAnsi="Times New Roman" w:cs="Times New Roman"/>
        </w:rPr>
      </w:pPr>
    </w:p>
    <w:p w14:paraId="3C3C1BF6" w14:textId="57563EBA" w:rsidR="00140FD8" w:rsidRPr="009570EF" w:rsidRDefault="00140FD8" w:rsidP="00140FD8">
      <w:pPr>
        <w:pStyle w:val="Title"/>
        <w:spacing w:before="0"/>
        <w:rPr>
          <w:rFonts w:ascii="Times New Roman" w:hAnsi="Times New Roman" w:cs="Times New Roman"/>
        </w:rPr>
      </w:pPr>
      <w:r w:rsidRPr="009570EF">
        <w:rPr>
          <w:rFonts w:ascii="Times New Roman" w:hAnsi="Times New Roman" w:cs="Times New Roman"/>
        </w:rPr>
        <w:t>Extending the Nomological Network of Sexual Objectification to Psychopathic and Allied Personality Traits</w:t>
      </w:r>
    </w:p>
    <w:p w14:paraId="69097B0A" w14:textId="77777777" w:rsidR="00140FD8" w:rsidRPr="00E84D59" w:rsidRDefault="00140FD8" w:rsidP="00140FD8">
      <w:pPr>
        <w:pStyle w:val="Title2"/>
        <w:rPr>
          <w:rFonts w:ascii="Times New Roman" w:hAnsi="Times New Roman" w:cs="Times New Roman"/>
        </w:rPr>
      </w:pPr>
      <w:r w:rsidRPr="00E84D59">
        <w:rPr>
          <w:rFonts w:ascii="Times New Roman" w:hAnsi="Times New Roman" w:cs="Times New Roman"/>
        </w:rPr>
        <w:t>Thomas H. Costello</w:t>
      </w:r>
    </w:p>
    <w:p w14:paraId="2BC22432" w14:textId="77777777" w:rsidR="00140FD8" w:rsidRPr="00E84D59" w:rsidRDefault="00140FD8" w:rsidP="00140FD8">
      <w:pPr>
        <w:pStyle w:val="Title2"/>
        <w:rPr>
          <w:rFonts w:ascii="Times New Roman" w:hAnsi="Times New Roman" w:cs="Times New Roman"/>
        </w:rPr>
      </w:pPr>
      <w:r w:rsidRPr="00E84D59">
        <w:rPr>
          <w:rFonts w:ascii="Times New Roman" w:hAnsi="Times New Roman" w:cs="Times New Roman"/>
        </w:rPr>
        <w:t>Emory University, Atlanta, Georgia</w:t>
      </w:r>
    </w:p>
    <w:p w14:paraId="51F36BC7" w14:textId="77777777" w:rsidR="00140FD8" w:rsidRPr="00E84D59" w:rsidRDefault="00140FD8" w:rsidP="00140FD8">
      <w:pPr>
        <w:pStyle w:val="Title2"/>
        <w:rPr>
          <w:rFonts w:ascii="Times New Roman" w:hAnsi="Times New Roman" w:cs="Times New Roman"/>
        </w:rPr>
      </w:pPr>
      <w:r w:rsidRPr="00E84D59">
        <w:rPr>
          <w:rFonts w:ascii="Times New Roman" w:hAnsi="Times New Roman" w:cs="Times New Roman"/>
        </w:rPr>
        <w:t xml:space="preserve">Ashley L. Watts </w:t>
      </w:r>
    </w:p>
    <w:p w14:paraId="027A946D" w14:textId="77777777" w:rsidR="00140FD8" w:rsidRDefault="00140FD8" w:rsidP="00140FD8">
      <w:pPr>
        <w:pStyle w:val="Title2"/>
        <w:rPr>
          <w:rFonts w:ascii="Times New Roman" w:hAnsi="Times New Roman" w:cs="Times New Roman"/>
        </w:rPr>
      </w:pPr>
      <w:r w:rsidRPr="00E84D59">
        <w:rPr>
          <w:rFonts w:ascii="Times New Roman" w:hAnsi="Times New Roman" w:cs="Times New Roman"/>
        </w:rPr>
        <w:t xml:space="preserve">University </w:t>
      </w:r>
      <w:r>
        <w:rPr>
          <w:rFonts w:ascii="Times New Roman" w:hAnsi="Times New Roman" w:cs="Times New Roman"/>
        </w:rPr>
        <w:t>of Missouri, Columbia, Missouri</w:t>
      </w:r>
      <w:r w:rsidRPr="00E84D59">
        <w:rPr>
          <w:rFonts w:ascii="Times New Roman" w:hAnsi="Times New Roman" w:cs="Times New Roman"/>
        </w:rPr>
        <w:t xml:space="preserve"> </w:t>
      </w:r>
    </w:p>
    <w:p w14:paraId="339CD8FD" w14:textId="77777777" w:rsidR="00140FD8" w:rsidRPr="00E84D59" w:rsidRDefault="00140FD8" w:rsidP="00140FD8">
      <w:pPr>
        <w:pStyle w:val="Title2"/>
        <w:rPr>
          <w:rFonts w:ascii="Times New Roman" w:hAnsi="Times New Roman" w:cs="Times New Roman"/>
        </w:rPr>
      </w:pPr>
      <w:r w:rsidRPr="00E84D59">
        <w:rPr>
          <w:rFonts w:ascii="Times New Roman" w:hAnsi="Times New Roman" w:cs="Times New Roman"/>
        </w:rPr>
        <w:t>Emory University, Atlanta, Georgia</w:t>
      </w:r>
    </w:p>
    <w:p w14:paraId="233D2F04" w14:textId="77777777" w:rsidR="00140FD8" w:rsidRPr="00E84D59" w:rsidRDefault="00140FD8" w:rsidP="00140FD8">
      <w:pPr>
        <w:pStyle w:val="Title2"/>
        <w:rPr>
          <w:rFonts w:ascii="Times New Roman" w:hAnsi="Times New Roman" w:cs="Times New Roman"/>
        </w:rPr>
      </w:pPr>
      <w:r w:rsidRPr="00E84D59">
        <w:rPr>
          <w:rFonts w:ascii="Times New Roman" w:hAnsi="Times New Roman" w:cs="Times New Roman"/>
        </w:rPr>
        <w:t>Brett A. Murphy</w:t>
      </w:r>
    </w:p>
    <w:p w14:paraId="7D417368" w14:textId="77777777" w:rsidR="00140FD8" w:rsidRPr="00E84D59" w:rsidRDefault="00140FD8" w:rsidP="00140FD8">
      <w:pPr>
        <w:pStyle w:val="Title2"/>
        <w:rPr>
          <w:rFonts w:ascii="Times New Roman" w:hAnsi="Times New Roman" w:cs="Times New Roman"/>
        </w:rPr>
      </w:pPr>
      <w:r w:rsidRPr="00E84D59">
        <w:rPr>
          <w:rFonts w:ascii="Times New Roman" w:hAnsi="Times New Roman" w:cs="Times New Roman"/>
        </w:rPr>
        <w:t>Emory University, Atlanta, Georgia</w:t>
      </w:r>
    </w:p>
    <w:p w14:paraId="52F55D82" w14:textId="77777777" w:rsidR="00140FD8" w:rsidRPr="00E84D59" w:rsidRDefault="00140FD8" w:rsidP="00140FD8">
      <w:pPr>
        <w:pStyle w:val="Title2"/>
        <w:rPr>
          <w:rFonts w:ascii="Times New Roman" w:hAnsi="Times New Roman" w:cs="Times New Roman"/>
        </w:rPr>
      </w:pPr>
      <w:r w:rsidRPr="00E84D59">
        <w:rPr>
          <w:rFonts w:ascii="Times New Roman" w:hAnsi="Times New Roman" w:cs="Times New Roman"/>
        </w:rPr>
        <w:t>Scott O. Lilienfeld</w:t>
      </w:r>
    </w:p>
    <w:p w14:paraId="2A112077" w14:textId="77777777" w:rsidR="00140FD8" w:rsidRPr="00E84D59" w:rsidRDefault="00140FD8" w:rsidP="00140FD8">
      <w:pPr>
        <w:pStyle w:val="Title2"/>
        <w:rPr>
          <w:rFonts w:ascii="Times New Roman" w:hAnsi="Times New Roman" w:cs="Times New Roman"/>
        </w:rPr>
      </w:pPr>
      <w:r w:rsidRPr="00E84D59">
        <w:rPr>
          <w:rFonts w:ascii="Times New Roman" w:hAnsi="Times New Roman" w:cs="Times New Roman"/>
        </w:rPr>
        <w:t>Emory University, Atlanta, Georgia</w:t>
      </w:r>
    </w:p>
    <w:p w14:paraId="14F12A2D" w14:textId="05692355" w:rsidR="003C6938" w:rsidRPr="0086117D" w:rsidRDefault="00140FD8" w:rsidP="0086117D">
      <w:pPr>
        <w:pStyle w:val="Title2"/>
        <w:rPr>
          <w:rFonts w:ascii="Times New Roman" w:hAnsi="Times New Roman" w:cs="Times New Roman"/>
        </w:rPr>
      </w:pPr>
      <w:r w:rsidRPr="00E84D59">
        <w:rPr>
          <w:rFonts w:ascii="Times New Roman" w:hAnsi="Times New Roman" w:cs="Times New Roman"/>
        </w:rPr>
        <w:t>The University of Melbourne, Melbourne, Australia</w:t>
      </w:r>
    </w:p>
    <w:p w14:paraId="7C590D29" w14:textId="79F2E657" w:rsidR="003C6938" w:rsidRPr="00E84D59" w:rsidRDefault="003C6938" w:rsidP="003C6938">
      <w:pPr>
        <w:spacing w:line="480" w:lineRule="auto"/>
      </w:pPr>
    </w:p>
    <w:p w14:paraId="058D2080" w14:textId="77777777" w:rsidR="00140FD8" w:rsidRDefault="00140FD8" w:rsidP="00140FD8">
      <w:pPr>
        <w:spacing w:line="480" w:lineRule="auto"/>
        <w:jc w:val="center"/>
      </w:pPr>
      <w:r w:rsidRPr="00E84D59">
        <w:t>Author Note</w:t>
      </w:r>
    </w:p>
    <w:p w14:paraId="12247D42" w14:textId="76480D90" w:rsidR="00140FD8" w:rsidRPr="00140FD8" w:rsidRDefault="00140FD8" w:rsidP="003C6938">
      <w:pPr>
        <w:spacing w:line="480" w:lineRule="auto"/>
        <w:ind w:firstLine="720"/>
        <w:rPr>
          <w:b/>
        </w:rPr>
      </w:pPr>
      <w:r w:rsidRPr="00E84D59">
        <w:t xml:space="preserve">The authors would like to thank Joanna M. Berg for her important contributions to item </w:t>
      </w:r>
      <w:r>
        <w:t xml:space="preserve">development. All supplemental materials are available at </w:t>
      </w:r>
      <w:hyperlink r:id="rId11" w:history="1">
        <w:r>
          <w:rPr>
            <w:rStyle w:val="Hyperlink"/>
          </w:rPr>
          <w:t>https://osf.io/zxwe2/</w:t>
        </w:r>
      </w:hyperlink>
      <w:r>
        <w:t xml:space="preserve">. </w:t>
      </w:r>
    </w:p>
    <w:p w14:paraId="366DA51F" w14:textId="75B1AFDD" w:rsidR="00140FD8" w:rsidRPr="003C6938" w:rsidRDefault="00140FD8" w:rsidP="003C6938">
      <w:pPr>
        <w:spacing w:line="480" w:lineRule="auto"/>
        <w:ind w:firstLine="720"/>
      </w:pPr>
      <w:r w:rsidRPr="00E84D59">
        <w:t xml:space="preserve">Correspondence should be addressed to Thomas H. Costello, 36 Eagle Row, Department of Psychology, Emory University, Atlanta, GA, 30322. E-mail: </w:t>
      </w:r>
      <w:hyperlink r:id="rId12" w:history="1">
        <w:r w:rsidRPr="00E84D59">
          <w:rPr>
            <w:rStyle w:val="Hyperlink"/>
          </w:rPr>
          <w:t>thcoste@emory.edu</w:t>
        </w:r>
      </w:hyperlink>
      <w:r w:rsidRPr="00E84D59">
        <w:t xml:space="preserve">. </w:t>
      </w:r>
    </w:p>
    <w:p w14:paraId="1ECEFC7A" w14:textId="0D84409E" w:rsidR="003C6938" w:rsidRPr="003C6938" w:rsidRDefault="003C6938" w:rsidP="003C6938">
      <w:pPr>
        <w:spacing w:line="480" w:lineRule="auto"/>
        <w:jc w:val="center"/>
        <w:rPr>
          <w:rFonts w:eastAsiaTheme="minorHAnsi"/>
          <w:b/>
          <w:bCs/>
          <w:szCs w:val="22"/>
        </w:rPr>
      </w:pPr>
      <w:r w:rsidRPr="003C6938">
        <w:rPr>
          <w:rFonts w:eastAsiaTheme="minorHAnsi"/>
          <w:b/>
          <w:bCs/>
          <w:szCs w:val="22"/>
        </w:rPr>
        <w:t xml:space="preserve">This article is now in press at </w:t>
      </w:r>
      <w:r w:rsidRPr="003C6938">
        <w:rPr>
          <w:rFonts w:eastAsiaTheme="minorHAnsi"/>
          <w:b/>
          <w:bCs/>
          <w:i/>
          <w:iCs/>
          <w:szCs w:val="22"/>
        </w:rPr>
        <w:t>Personality Disorders: Theory, Research, and Treatment</w:t>
      </w:r>
      <w:r w:rsidRPr="003C6938">
        <w:rPr>
          <w:rFonts w:eastAsiaTheme="minorHAnsi"/>
          <w:b/>
          <w:bCs/>
          <w:szCs w:val="22"/>
        </w:rPr>
        <w:t>.</w:t>
      </w:r>
    </w:p>
    <w:p w14:paraId="3458EB5F" w14:textId="70AA7554" w:rsidR="0086117D" w:rsidRPr="0086117D" w:rsidRDefault="0086117D" w:rsidP="0086117D">
      <w:pPr>
        <w:rPr>
          <w:sz w:val="22"/>
          <w:szCs w:val="22"/>
        </w:rPr>
      </w:pPr>
      <w:r w:rsidRPr="0086117D">
        <w:rPr>
          <w:color w:val="000000"/>
          <w:sz w:val="21"/>
          <w:szCs w:val="22"/>
        </w:rPr>
        <w:t>© 2019, American Psychological Association. This paper is not the copy of record and may not exactly replicate the final, authoritative version of the article. Please do not copy or cite without authors' permission. The final article will be available, upon publication, via its DOI: 10.1037/per0000377</w:t>
      </w:r>
      <w:r w:rsidRPr="0086117D">
        <w:rPr>
          <w:color w:val="000000"/>
        </w:rPr>
        <w:t xml:space="preserve">. </w:t>
      </w:r>
    </w:p>
    <w:p w14:paraId="3880790A" w14:textId="2D7D209D" w:rsidR="00403F4F" w:rsidRPr="009570EF" w:rsidRDefault="00403F4F" w:rsidP="00486CEF">
      <w:pPr>
        <w:spacing w:line="480" w:lineRule="auto"/>
        <w:jc w:val="center"/>
        <w:rPr>
          <w:b/>
          <w:bCs/>
        </w:rPr>
      </w:pPr>
      <w:r w:rsidRPr="009570EF">
        <w:rPr>
          <w:b/>
          <w:bCs/>
        </w:rPr>
        <w:lastRenderedPageBreak/>
        <w:t>Abstract</w:t>
      </w:r>
      <w:bookmarkStart w:id="0" w:name="_GoBack"/>
      <w:bookmarkEnd w:id="0"/>
    </w:p>
    <w:p w14:paraId="05BFE273" w14:textId="7EF0CABD" w:rsidR="00403F4F" w:rsidRDefault="003428D7" w:rsidP="003428D7">
      <w:pPr>
        <w:spacing w:line="480" w:lineRule="auto"/>
      </w:pPr>
      <w:r w:rsidRPr="003428D7">
        <w:t>Although the causes and correlates of sexual objectification almost certainly comprise</w:t>
      </w:r>
      <w:r>
        <w:t xml:space="preserve"> </w:t>
      </w:r>
      <w:r w:rsidRPr="003428D7">
        <w:t>a heterogeneous array of individual difference variables, little is known about sexual</w:t>
      </w:r>
      <w:r>
        <w:t xml:space="preserve"> </w:t>
      </w:r>
      <w:r w:rsidRPr="003428D7">
        <w:t>objectification perpetration</w:t>
      </w:r>
      <w:r w:rsidRPr="003428D7">
        <w:rPr>
          <w:rFonts w:hint="eastAsia"/>
        </w:rPr>
        <w:t>’</w:t>
      </w:r>
      <w:r w:rsidRPr="003428D7">
        <w:t>s nomological network. We hypothesized that the broad</w:t>
      </w:r>
      <w:r>
        <w:t xml:space="preserve"> </w:t>
      </w:r>
      <w:r w:rsidRPr="003428D7">
        <w:t>personality construct of psychopathy would afford a fruitful framework for</w:t>
      </w:r>
      <w:r>
        <w:t xml:space="preserve"> understanding and statistically </w:t>
      </w:r>
      <w:r w:rsidRPr="003428D7">
        <w:t>predicting sexual objectification and investigated the</w:t>
      </w:r>
      <w:r>
        <w:t xml:space="preserve"> </w:t>
      </w:r>
      <w:r w:rsidRPr="003428D7">
        <w:t>implications of a host of psychopathic and psychopathy-related traits, including</w:t>
      </w:r>
      <w:r>
        <w:t xml:space="preserve"> </w:t>
      </w:r>
      <w:r w:rsidRPr="003428D7">
        <w:t>empathy, narcissism, impulsivity, and sadism, for interpersonal sexual objectification</w:t>
      </w:r>
      <w:r>
        <w:t xml:space="preserve"> </w:t>
      </w:r>
      <w:r w:rsidRPr="003428D7">
        <w:t>perpetration. We augmented an extant self-report instrument of behavioral sexual</w:t>
      </w:r>
      <w:r>
        <w:t xml:space="preserve"> </w:t>
      </w:r>
      <w:r w:rsidRPr="003428D7">
        <w:t xml:space="preserve">objectification, the Interpersonal Sexual Objectification Scale </w:t>
      </w:r>
      <w:r w:rsidRPr="003428D7">
        <w:rPr>
          <w:rFonts w:hint="eastAsia"/>
        </w:rPr>
        <w:t>–</w:t>
      </w:r>
      <w:r w:rsidRPr="003428D7">
        <w:t xml:space="preserve"> Perpetrator Version</w:t>
      </w:r>
      <w:r>
        <w:t xml:space="preserve"> </w:t>
      </w:r>
      <w:r w:rsidRPr="003428D7">
        <w:t>(ISOS-P; Gervais, DiLillo, &amp; McChargue, 2014), with attitudinal items. Two MTurk</w:t>
      </w:r>
      <w:r>
        <w:t xml:space="preserve"> </w:t>
      </w:r>
      <w:r w:rsidRPr="003428D7">
        <w:t>samples (</w:t>
      </w:r>
      <w:r w:rsidR="004B482F">
        <w:t>Study 1: N = 401, 53% female, M</w:t>
      </w:r>
      <w:r w:rsidRPr="004B482F">
        <w:rPr>
          <w:vertAlign w:val="subscript"/>
        </w:rPr>
        <w:t>age</w:t>
      </w:r>
      <w:r w:rsidRPr="003428D7">
        <w:t xml:space="preserve"> = 36; Study 2: N = 419, 48% female,</w:t>
      </w:r>
      <w:r>
        <w:t xml:space="preserve"> </w:t>
      </w:r>
      <w:r w:rsidR="004B482F">
        <w:t>M</w:t>
      </w:r>
      <w:r w:rsidRPr="004B482F">
        <w:rPr>
          <w:vertAlign w:val="subscript"/>
        </w:rPr>
        <w:t>age</w:t>
      </w:r>
      <w:r w:rsidRPr="003428D7">
        <w:t xml:space="preserve"> = 37) were administered the augmented ISOS-P and a battery of well</w:t>
      </w:r>
      <w:r w:rsidR="004B482F">
        <w:t xml:space="preserve"> </w:t>
      </w:r>
      <w:r w:rsidRPr="003428D7">
        <w:t>validated</w:t>
      </w:r>
      <w:r>
        <w:t xml:space="preserve"> </w:t>
      </w:r>
      <w:r w:rsidRPr="003428D7">
        <w:t>self-report instruments describing psychopathic and psychopathy-related</w:t>
      </w:r>
      <w:r>
        <w:t xml:space="preserve"> </w:t>
      </w:r>
      <w:r w:rsidRPr="003428D7">
        <w:t>traits. Dark personality traits were strongly associated with sexual objectification;</w:t>
      </w:r>
      <w:r>
        <w:t xml:space="preserve"> </w:t>
      </w:r>
      <w:r w:rsidRPr="003428D7">
        <w:t>sadism, low affective empathy, narcissism, disinhibition, and meanness emerged as</w:t>
      </w:r>
      <w:r>
        <w:t xml:space="preserve"> </w:t>
      </w:r>
      <w:r w:rsidRPr="003428D7">
        <w:t>the largest correlates. Further, our hypothesis that psychopathic traits would moderate</w:t>
      </w:r>
      <w:r>
        <w:t xml:space="preserve"> </w:t>
      </w:r>
      <w:r w:rsidRPr="003428D7">
        <w:t>(potentiate) the relation between ISOP attitudes and ISOP behaviors found support in</w:t>
      </w:r>
      <w:r>
        <w:t xml:space="preserve"> </w:t>
      </w:r>
      <w:r w:rsidRPr="003428D7">
        <w:t>both samples.</w:t>
      </w:r>
    </w:p>
    <w:p w14:paraId="28213964" w14:textId="77777777" w:rsidR="00403F4F" w:rsidRDefault="00403F4F" w:rsidP="00403F4F">
      <w:pPr>
        <w:jc w:val="center"/>
        <w:rPr>
          <w:lang w:eastAsia="ja-JP"/>
        </w:rPr>
      </w:pPr>
    </w:p>
    <w:p w14:paraId="1791DF62" w14:textId="77777777" w:rsidR="00403F4F" w:rsidRDefault="00403F4F" w:rsidP="00403F4F">
      <w:pPr>
        <w:jc w:val="center"/>
        <w:rPr>
          <w:lang w:eastAsia="ja-JP"/>
        </w:rPr>
      </w:pPr>
    </w:p>
    <w:p w14:paraId="56263D86" w14:textId="77777777" w:rsidR="00403F4F" w:rsidRDefault="00403F4F" w:rsidP="00403F4F">
      <w:pPr>
        <w:jc w:val="center"/>
        <w:rPr>
          <w:lang w:eastAsia="ja-JP"/>
        </w:rPr>
      </w:pPr>
    </w:p>
    <w:p w14:paraId="47E552D3" w14:textId="2612A27D" w:rsidR="00403F4F" w:rsidRDefault="00403F4F" w:rsidP="00403F4F">
      <w:pPr>
        <w:jc w:val="center"/>
        <w:rPr>
          <w:lang w:eastAsia="ja-JP"/>
        </w:rPr>
      </w:pPr>
    </w:p>
    <w:p w14:paraId="33F04C09" w14:textId="1113F5AB" w:rsidR="00403F4F" w:rsidRDefault="00403F4F" w:rsidP="00403F4F">
      <w:pPr>
        <w:jc w:val="center"/>
        <w:rPr>
          <w:lang w:eastAsia="ja-JP"/>
        </w:rPr>
      </w:pPr>
    </w:p>
    <w:p w14:paraId="45C45D37" w14:textId="52E7125E" w:rsidR="00403F4F" w:rsidRDefault="00403F4F" w:rsidP="00403F4F">
      <w:pPr>
        <w:jc w:val="center"/>
        <w:rPr>
          <w:lang w:eastAsia="ja-JP"/>
        </w:rPr>
      </w:pPr>
    </w:p>
    <w:p w14:paraId="05B87319" w14:textId="1C986B21" w:rsidR="00403F4F" w:rsidRDefault="00403F4F" w:rsidP="00403F4F">
      <w:pPr>
        <w:jc w:val="center"/>
        <w:rPr>
          <w:lang w:eastAsia="ja-JP"/>
        </w:rPr>
      </w:pPr>
    </w:p>
    <w:p w14:paraId="1E529F71" w14:textId="2660C5B5" w:rsidR="00403F4F" w:rsidRDefault="00403F4F" w:rsidP="00403F4F">
      <w:pPr>
        <w:jc w:val="center"/>
        <w:rPr>
          <w:lang w:eastAsia="ja-JP"/>
        </w:rPr>
      </w:pPr>
    </w:p>
    <w:p w14:paraId="18AC2796" w14:textId="793DDE40" w:rsidR="00140FD8" w:rsidRDefault="00140FD8" w:rsidP="00403F4F">
      <w:pPr>
        <w:jc w:val="center"/>
        <w:rPr>
          <w:lang w:eastAsia="ja-JP"/>
        </w:rPr>
      </w:pPr>
    </w:p>
    <w:p w14:paraId="47909F93" w14:textId="453B92AF" w:rsidR="00403F4F" w:rsidRDefault="00403F4F" w:rsidP="00403F4F">
      <w:pPr>
        <w:jc w:val="center"/>
        <w:rPr>
          <w:lang w:eastAsia="ja-JP"/>
        </w:rPr>
      </w:pPr>
    </w:p>
    <w:p w14:paraId="50A1A7B3" w14:textId="77777777" w:rsidR="00403F4F" w:rsidRDefault="00403F4F" w:rsidP="00403F4F">
      <w:pPr>
        <w:jc w:val="center"/>
        <w:rPr>
          <w:lang w:eastAsia="ja-JP"/>
        </w:rPr>
      </w:pPr>
    </w:p>
    <w:p w14:paraId="7934D658" w14:textId="11530045" w:rsidR="003428D7" w:rsidRDefault="00403F4F" w:rsidP="00140FD8">
      <w:pPr>
        <w:rPr>
          <w:lang w:eastAsia="ja-JP"/>
        </w:rPr>
      </w:pPr>
      <w:r w:rsidRPr="00E84D59">
        <w:rPr>
          <w:rStyle w:val="Emphasis"/>
        </w:rPr>
        <w:t>Keywords</w:t>
      </w:r>
      <w:r w:rsidRPr="00E84D59">
        <w:t>: psychopath</w:t>
      </w:r>
      <w:r>
        <w:t>y</w:t>
      </w:r>
      <w:r w:rsidRPr="00E84D59">
        <w:t>, sexual objectification, individual differences, ISOS-P</w:t>
      </w:r>
      <w:r>
        <w:t>, attitudes</w:t>
      </w:r>
      <w:r w:rsidR="004B482F">
        <w:t>.</w:t>
      </w:r>
    </w:p>
    <w:p w14:paraId="683492AD" w14:textId="16B00176" w:rsidR="000C4503" w:rsidRPr="00E84D59" w:rsidRDefault="000C4503" w:rsidP="00403F4F">
      <w:pPr>
        <w:jc w:val="center"/>
        <w:rPr>
          <w:lang w:eastAsia="ja-JP"/>
        </w:rPr>
      </w:pPr>
      <w:r w:rsidRPr="00E84D59">
        <w:rPr>
          <w:lang w:eastAsia="ja-JP"/>
        </w:rPr>
        <w:lastRenderedPageBreak/>
        <w:t>Extending the Nomological Network of Sexual Objectification to Psychopathic and</w:t>
      </w:r>
    </w:p>
    <w:p w14:paraId="47B5F4C7" w14:textId="77777777" w:rsidR="000C4503" w:rsidRPr="00E84D59" w:rsidRDefault="000C4503" w:rsidP="00A104CE">
      <w:pPr>
        <w:rPr>
          <w:lang w:eastAsia="ja-JP"/>
        </w:rPr>
      </w:pPr>
    </w:p>
    <w:p w14:paraId="7EE110CD" w14:textId="49405E4C" w:rsidR="00E56DF4" w:rsidRDefault="000C4503" w:rsidP="00403F4F">
      <w:pPr>
        <w:jc w:val="center"/>
        <w:rPr>
          <w:lang w:eastAsia="ja-JP"/>
        </w:rPr>
      </w:pPr>
      <w:r w:rsidRPr="00E84D59">
        <w:rPr>
          <w:lang w:eastAsia="ja-JP"/>
        </w:rPr>
        <w:t>Allied Personality Traits</w:t>
      </w:r>
    </w:p>
    <w:p w14:paraId="66699B0A" w14:textId="77777777" w:rsidR="00475093" w:rsidRDefault="00475093" w:rsidP="003D3825">
      <w:pPr>
        <w:jc w:val="center"/>
      </w:pPr>
    </w:p>
    <w:p w14:paraId="3990186D" w14:textId="0EA3EB0A" w:rsidR="00EB6933" w:rsidRDefault="001827B5" w:rsidP="000E2382">
      <w:pPr>
        <w:spacing w:line="480" w:lineRule="auto"/>
        <w:ind w:firstLine="720"/>
      </w:pPr>
      <w:r>
        <w:t xml:space="preserve">Of the various modalities of aggressive </w:t>
      </w:r>
      <w:r w:rsidR="00B00CAC">
        <w:t xml:space="preserve">sexual </w:t>
      </w:r>
      <w:r>
        <w:t xml:space="preserve">behavior, </w:t>
      </w:r>
      <w:r w:rsidRPr="00DF16F3">
        <w:rPr>
          <w:i/>
        </w:rPr>
        <w:t>interpersonal sexual objectification perpetration</w:t>
      </w:r>
      <w:r>
        <w:t xml:space="preserve"> (ISOP), which involves </w:t>
      </w:r>
      <w:r w:rsidRPr="00E84D59">
        <w:t>equating another person with his or her sexual attributes</w:t>
      </w:r>
      <w:r>
        <w:t xml:space="preserve">, is </w:t>
      </w:r>
      <w:r w:rsidR="00EB6933">
        <w:t xml:space="preserve">assuredly the </w:t>
      </w:r>
      <w:r w:rsidDel="00821E7F">
        <w:t xml:space="preserve">most readily </w:t>
      </w:r>
      <w:r>
        <w:t>observable in everyday life (Pina, Gannon, &amp; Saunders, 2009; Ward, 2016).</w:t>
      </w:r>
      <w:r w:rsidR="00EB6933" w:rsidRPr="00EB6933">
        <w:t xml:space="preserve"> </w:t>
      </w:r>
      <w:r w:rsidR="00EB6933" w:rsidDel="00EC2AE8">
        <w:t>Yet a</w:t>
      </w:r>
      <w:r w:rsidR="00EB6933">
        <w:t>lthough</w:t>
      </w:r>
      <w:r w:rsidR="00EB6933" w:rsidDel="00EC2AE8">
        <w:t xml:space="preserve"> </w:t>
      </w:r>
      <w:r w:rsidR="00EB6933">
        <w:t>a</w:t>
      </w:r>
      <w:r w:rsidR="00EB6933" w:rsidRPr="00E84D59">
        <w:t xml:space="preserve"> spate of recent studies </w:t>
      </w:r>
      <w:r w:rsidR="00EB6933">
        <w:t>have indicated</w:t>
      </w:r>
      <w:r w:rsidR="00CC6C3B">
        <w:t xml:space="preserve"> that the behavioral seque</w:t>
      </w:r>
      <w:r w:rsidR="00EB6933" w:rsidRPr="00E84D59">
        <w:t>lae of ISOP</w:t>
      </w:r>
      <w:r w:rsidR="000E2382">
        <w:t xml:space="preserve"> </w:t>
      </w:r>
      <w:r w:rsidR="00EB6933" w:rsidRPr="00E84D59">
        <w:t>include myriad forms of sexual aggression (see Bevens &amp; Loughnan, 2019; Morris, Goldenberg, &amp; Boyd, 2018; Pacilli et al., 2017; Vasquez, Ball, Loughnan, &amp; Pina, 2018)</w:t>
      </w:r>
      <w:r w:rsidR="00EB6933">
        <w:t xml:space="preserve"> and</w:t>
      </w:r>
      <w:r w:rsidR="00EB6933" w:rsidDel="00EC2AE8">
        <w:t xml:space="preserve"> </w:t>
      </w:r>
      <w:r w:rsidR="00297B70">
        <w:t xml:space="preserve">the harms of </w:t>
      </w:r>
      <w:r w:rsidR="009D31FE">
        <w:t>being sexually objectified</w:t>
      </w:r>
      <w:r w:rsidR="00EB6933">
        <w:t xml:space="preserve"> have long been a focus of scientific inquiry (e.g., </w:t>
      </w:r>
      <w:r w:rsidR="009C2288">
        <w:t>Fredri</w:t>
      </w:r>
      <w:r w:rsidR="00EB6933" w:rsidRPr="00E84D59">
        <w:t>kson, Roberts, Noll, Quinn, &amp; Twenge, 1998</w:t>
      </w:r>
      <w:r w:rsidR="00EB6933">
        <w:t>)</w:t>
      </w:r>
      <w:r w:rsidR="006C57B4">
        <w:t xml:space="preserve">, </w:t>
      </w:r>
      <w:r w:rsidR="00874247" w:rsidRPr="00E84D59">
        <w:t xml:space="preserve">the </w:t>
      </w:r>
      <w:r w:rsidR="00874247">
        <w:t>attitudes and personality traits</w:t>
      </w:r>
      <w:r w:rsidR="00874247" w:rsidRPr="00E84D59">
        <w:t xml:space="preserve"> of individuals who tend to commit the </w:t>
      </w:r>
      <w:r w:rsidR="00E71936">
        <w:t xml:space="preserve">pernicious </w:t>
      </w:r>
      <w:r w:rsidR="00874247" w:rsidRPr="00E84D59">
        <w:t>“category mistake” (Haslam &amp; Loughnan, 2014, p. 399) of viewing other people as sex objects remain largely opaque</w:t>
      </w:r>
      <w:r w:rsidR="00EB6933">
        <w:t>.</w:t>
      </w:r>
      <w:r w:rsidR="00821E7F">
        <w:t xml:space="preserve"> </w:t>
      </w:r>
    </w:p>
    <w:p w14:paraId="192E2B54" w14:textId="0ABA13D9" w:rsidR="00FA0BF3" w:rsidRDefault="001E36E8" w:rsidP="000E2382">
      <w:pPr>
        <w:spacing w:line="480" w:lineRule="auto"/>
        <w:ind w:firstLine="720"/>
      </w:pPr>
      <w:r>
        <w:t xml:space="preserve">To that end, </w:t>
      </w:r>
      <w:r w:rsidR="00EB6933">
        <w:t xml:space="preserve">we speculated that </w:t>
      </w:r>
      <w:r>
        <w:t>t</w:t>
      </w:r>
      <w:r w:rsidR="000015DF">
        <w:t xml:space="preserve">he personality condition known as </w:t>
      </w:r>
      <w:r w:rsidR="000015DF" w:rsidRPr="00A54D1C">
        <w:rPr>
          <w:i/>
        </w:rPr>
        <w:t>psychopathy</w:t>
      </w:r>
      <w:r w:rsidR="002D2B31">
        <w:t xml:space="preserve">, </w:t>
      </w:r>
      <w:r w:rsidR="002D2B31" w:rsidRPr="00E84D59">
        <w:t xml:space="preserve">a broad constellation of </w:t>
      </w:r>
      <w:r w:rsidR="002D2B31">
        <w:t xml:space="preserve">personality </w:t>
      </w:r>
      <w:r w:rsidR="002D2B31" w:rsidRPr="00E84D59">
        <w:t>traits</w:t>
      </w:r>
      <w:r w:rsidR="002D2B31">
        <w:t xml:space="preserve">, including </w:t>
      </w:r>
      <w:r w:rsidR="002D2B31" w:rsidRPr="00E84D59">
        <w:t>superficial charm, grandiosity, dishonesty</w:t>
      </w:r>
      <w:r w:rsidR="002D2B31">
        <w:t xml:space="preserve">, impulsivity, </w:t>
      </w:r>
      <w:r w:rsidR="002D2B31" w:rsidRPr="00E84D59">
        <w:t>unmotivated antisociality</w:t>
      </w:r>
      <w:r w:rsidR="002D2B31">
        <w:t xml:space="preserve">, </w:t>
      </w:r>
      <w:r w:rsidR="002D2B31" w:rsidRPr="00E84D59">
        <w:t>interpersonal instrumentality</w:t>
      </w:r>
      <w:r w:rsidR="00AB724D">
        <w:t>,</w:t>
      </w:r>
      <w:r w:rsidR="002D2B31">
        <w:t xml:space="preserve"> and </w:t>
      </w:r>
      <w:r w:rsidR="00AA74BB">
        <w:t xml:space="preserve">socioemotional </w:t>
      </w:r>
      <w:r w:rsidR="002D2B31">
        <w:t>deficits</w:t>
      </w:r>
      <w:r w:rsidR="00AB724D">
        <w:t xml:space="preserve">, </w:t>
      </w:r>
      <w:r w:rsidR="000015DF">
        <w:t xml:space="preserve">may be </w:t>
      </w:r>
      <w:r w:rsidR="000015DF" w:rsidRPr="00E84D59">
        <w:t xml:space="preserve">a fruitful framework for </w:t>
      </w:r>
      <w:r w:rsidR="000015DF">
        <w:t>understanding and statistically predicting ISOP</w:t>
      </w:r>
      <w:r w:rsidR="000015DF" w:rsidRPr="00E84D59">
        <w:t>.</w:t>
      </w:r>
      <w:r>
        <w:t xml:space="preserve"> </w:t>
      </w:r>
      <w:r w:rsidR="003E3A27">
        <w:t xml:space="preserve">Psychopathy </w:t>
      </w:r>
      <w:r w:rsidR="003E3A27" w:rsidRPr="00E84D59">
        <w:t xml:space="preserve">is one of the most salient individual difference variables associated with sexual aggression, harassment, and violence </w:t>
      </w:r>
      <w:r w:rsidR="003E3A27">
        <w:t>in both forensic and community samples</w:t>
      </w:r>
      <w:r w:rsidR="003E3A27" w:rsidRPr="00E84D59">
        <w:t xml:space="preserve"> (</w:t>
      </w:r>
      <w:r w:rsidR="00780CBE">
        <w:t>Knight</w:t>
      </w:r>
      <w:r w:rsidR="00780CBE" w:rsidRPr="00E84D59">
        <w:t xml:space="preserve"> &amp;</w:t>
      </w:r>
      <w:r w:rsidR="003E3A27" w:rsidRPr="00E84D59">
        <w:t xml:space="preserve"> Guay, 2018</w:t>
      </w:r>
      <w:r w:rsidR="003E3A27">
        <w:t>)</w:t>
      </w:r>
      <w:r w:rsidR="00426CCB">
        <w:t xml:space="preserve">. </w:t>
      </w:r>
      <w:r w:rsidR="00AD7B93" w:rsidDel="00EB6933">
        <w:t xml:space="preserve">Moreover, </w:t>
      </w:r>
      <w:r w:rsidR="00AD7B93">
        <w:t>psychopathic</w:t>
      </w:r>
      <w:r w:rsidR="003E3A27">
        <w:t xml:space="preserve"> traits and other putatively “dark” personality traits </w:t>
      </w:r>
      <w:r w:rsidR="00AD7B93">
        <w:t xml:space="preserve">share </w:t>
      </w:r>
      <w:r w:rsidR="00C10065">
        <w:t xml:space="preserve">many core </w:t>
      </w:r>
      <w:r w:rsidR="00BA3D5D">
        <w:t>conceptual features</w:t>
      </w:r>
      <w:r w:rsidR="00C10065">
        <w:t xml:space="preserve"> with objectification (e.g., </w:t>
      </w:r>
      <w:r w:rsidR="008C6F28">
        <w:t xml:space="preserve">treating others as a tool for one’s gratification, </w:t>
      </w:r>
      <w:r w:rsidR="0070397F">
        <w:t xml:space="preserve">not respecting </w:t>
      </w:r>
      <w:r w:rsidR="00CC6C3B">
        <w:t xml:space="preserve">others’ </w:t>
      </w:r>
      <w:r w:rsidR="0070397F">
        <w:t xml:space="preserve">autonomy and interpersonal boundaries, </w:t>
      </w:r>
      <w:r w:rsidR="00FA0432">
        <w:t xml:space="preserve">discounting others’ experiences and feelings; </w:t>
      </w:r>
      <w:r w:rsidR="009C2288">
        <w:t>Langton, 2009</w:t>
      </w:r>
      <w:r w:rsidR="00FA0432">
        <w:t xml:space="preserve">). </w:t>
      </w:r>
      <w:r w:rsidR="00A718E0">
        <w:t>Hence, i</w:t>
      </w:r>
      <w:r w:rsidR="007A38C5">
        <w:t>n the present studies</w:t>
      </w:r>
      <w:r w:rsidR="00CC6C3B">
        <w:t>,</w:t>
      </w:r>
      <w:r w:rsidR="007A38C5">
        <w:t xml:space="preserve"> w</w:t>
      </w:r>
      <w:r w:rsidR="00894149">
        <w:t xml:space="preserve">e </w:t>
      </w:r>
      <w:r w:rsidR="00894149" w:rsidRPr="00E84D59">
        <w:t xml:space="preserve">sought </w:t>
      </w:r>
      <w:r w:rsidR="00CB7798">
        <w:t xml:space="preserve">to </w:t>
      </w:r>
      <w:r w:rsidR="007B68F0">
        <w:t>elaborate</w:t>
      </w:r>
      <w:r w:rsidR="00894149" w:rsidRPr="00E84D59">
        <w:t xml:space="preserve"> the nomological </w:t>
      </w:r>
      <w:r w:rsidR="00894149" w:rsidRPr="00E84D59">
        <w:lastRenderedPageBreak/>
        <w:t>network of ISOP with a</w:t>
      </w:r>
      <w:r w:rsidR="00753AF1">
        <w:t>n explicit</w:t>
      </w:r>
      <w:r w:rsidR="00850D5B">
        <w:t xml:space="preserve"> </w:t>
      </w:r>
      <w:r w:rsidR="00894149" w:rsidRPr="00E84D59">
        <w:t>focus on</w:t>
      </w:r>
      <w:r w:rsidR="00761E77">
        <w:t xml:space="preserve"> </w:t>
      </w:r>
      <w:r w:rsidR="00403E9F">
        <w:t>psychopath</w:t>
      </w:r>
      <w:r w:rsidR="00DE7BB2">
        <w:t>ic and allied personality traits</w:t>
      </w:r>
      <w:r w:rsidR="00045D35">
        <w:t>. We also consider</w:t>
      </w:r>
      <w:r w:rsidR="00FF1296">
        <w:t xml:space="preserve"> </w:t>
      </w:r>
      <w:r w:rsidR="00045D35">
        <w:t>the</w:t>
      </w:r>
      <w:r w:rsidR="00FF1296">
        <w:t xml:space="preserve"> </w:t>
      </w:r>
      <w:r w:rsidR="001C3574">
        <w:t xml:space="preserve">potential role </w:t>
      </w:r>
      <w:r w:rsidR="002E32C9">
        <w:t xml:space="preserve">of gender </w:t>
      </w:r>
      <w:r w:rsidR="001C3574">
        <w:t>in</w:t>
      </w:r>
      <w:r w:rsidR="002E32C9">
        <w:t xml:space="preserve"> such relations. </w:t>
      </w:r>
      <w:r w:rsidR="00B62C4A">
        <w:t xml:space="preserve"> </w:t>
      </w:r>
    </w:p>
    <w:p w14:paraId="0E9568FB" w14:textId="23EE8B8D" w:rsidR="00D77DF4" w:rsidRPr="00E84D59" w:rsidRDefault="00D12C1E" w:rsidP="00D77DF4">
      <w:pPr>
        <w:spacing w:line="480" w:lineRule="auto"/>
        <w:rPr>
          <w:b/>
        </w:rPr>
      </w:pPr>
      <w:r>
        <w:rPr>
          <w:b/>
        </w:rPr>
        <w:t>Psychopathy</w:t>
      </w:r>
      <w:r w:rsidR="001F0D0E">
        <w:rPr>
          <w:b/>
        </w:rPr>
        <w:t xml:space="preserve"> and Psychopathy-related Traits</w:t>
      </w:r>
      <w:r w:rsidR="0083760F">
        <w:rPr>
          <w:b/>
        </w:rPr>
        <w:t xml:space="preserve">: </w:t>
      </w:r>
      <w:r>
        <w:rPr>
          <w:b/>
        </w:rPr>
        <w:t xml:space="preserve">Implications for </w:t>
      </w:r>
      <w:r w:rsidR="0083760F">
        <w:rPr>
          <w:b/>
        </w:rPr>
        <w:t>Sexual Objectification</w:t>
      </w:r>
    </w:p>
    <w:p w14:paraId="7AE878E7" w14:textId="08E8E697" w:rsidR="00E54218" w:rsidRDefault="00E54218" w:rsidP="00E54218">
      <w:pPr>
        <w:spacing w:line="480" w:lineRule="auto"/>
        <w:ind w:firstLine="720"/>
      </w:pPr>
      <w:r w:rsidRPr="00E84D59">
        <w:t xml:space="preserve">Patrick and colleagues’ (2009) </w:t>
      </w:r>
      <w:r>
        <w:t xml:space="preserve">widely adopted </w:t>
      </w:r>
      <w:r w:rsidRPr="00A54D1C">
        <w:rPr>
          <w:i/>
        </w:rPr>
        <w:t>triarchic model</w:t>
      </w:r>
      <w:r w:rsidRPr="00E84D59">
        <w:t xml:space="preserve"> parses psychopathy into three subdimensions—</w:t>
      </w:r>
      <w:r w:rsidRPr="00A54D1C">
        <w:rPr>
          <w:i/>
        </w:rPr>
        <w:t>boldness</w:t>
      </w:r>
      <w:r w:rsidRPr="00E84D59">
        <w:t xml:space="preserve">, </w:t>
      </w:r>
      <w:r w:rsidRPr="00A54D1C">
        <w:rPr>
          <w:i/>
        </w:rPr>
        <w:t>disinhibition</w:t>
      </w:r>
      <w:r w:rsidRPr="00E84D59">
        <w:t xml:space="preserve">, and </w:t>
      </w:r>
      <w:r w:rsidRPr="00A54D1C">
        <w:rPr>
          <w:i/>
        </w:rPr>
        <w:t>meanness</w:t>
      </w:r>
      <w:r w:rsidRPr="00E84D59">
        <w:t xml:space="preserve">. Boldness comprises social potency, insensitivity to threat, and emotional resilience; disinhibition comprises impulsivity, interpersonal aggression, hostile attribution bias, and emotional dysregulation; and meanness comprises callousness, vindictiveness, and antagonism. The triarchic model largely traces its roots to an allied </w:t>
      </w:r>
      <w:r w:rsidR="009C2288">
        <w:t>three-factor conceptualization</w:t>
      </w:r>
      <w:r w:rsidRPr="00E84D59">
        <w:t xml:space="preserve">, now typically assessed using the Psychopathic Personality Inventory-Revised (PPI-R; Lilienfeld et al., 2005), that comprises three higher-order dimensions: </w:t>
      </w:r>
      <w:r w:rsidRPr="00A54D1C">
        <w:rPr>
          <w:i/>
        </w:rPr>
        <w:t>Fearless Dominance</w:t>
      </w:r>
      <w:r w:rsidRPr="00E84D59">
        <w:t xml:space="preserve"> (PPI-R FD), akin to boldness; </w:t>
      </w:r>
      <w:r w:rsidRPr="00A54D1C">
        <w:rPr>
          <w:i/>
        </w:rPr>
        <w:t>Self-centered Impulsivity</w:t>
      </w:r>
      <w:r w:rsidRPr="00E84D59">
        <w:t xml:space="preserve"> (PPI-R SCI), which overlaps with disinhibition and, to a lesser extent, meanness; and </w:t>
      </w:r>
      <w:r w:rsidRPr="00A54D1C">
        <w:rPr>
          <w:i/>
        </w:rPr>
        <w:t>Coldheartedness</w:t>
      </w:r>
      <w:r w:rsidRPr="00E84D59">
        <w:t xml:space="preserve"> (PPI-R CH), which is somewhat related to meanness but emphasizes traits associated with passive socioemotional detachment (e.g., guiltlessness, low empathy, lovelessness) as opposed to active antagonism (e.g., instrumental aggression). </w:t>
      </w:r>
      <w:r w:rsidR="00D87918">
        <w:t xml:space="preserve">In this way, psychopathy can be construed as a multidimensional constellation or even configuration of more basic </w:t>
      </w:r>
      <w:r w:rsidR="00941E5F">
        <w:t xml:space="preserve">personality </w:t>
      </w:r>
      <w:r w:rsidR="00561DE6">
        <w:t>components</w:t>
      </w:r>
      <w:r w:rsidR="00941E5F">
        <w:t xml:space="preserve"> (e.g., </w:t>
      </w:r>
      <w:r w:rsidR="00941E5F" w:rsidRPr="00E84D59">
        <w:t>Lilienfeld, Watts, Smith, Berg, &amp; Latzman, 2015</w:t>
      </w:r>
      <w:r w:rsidR="00941E5F">
        <w:t>)</w:t>
      </w:r>
      <w:r w:rsidR="00EA3E73">
        <w:t>, as opposed to a unitary construct</w:t>
      </w:r>
      <w:r w:rsidR="00941E5F">
        <w:t>.</w:t>
      </w:r>
      <w:r w:rsidR="00FF171D">
        <w:t xml:space="preserve"> </w:t>
      </w:r>
      <w:r w:rsidR="00D87918">
        <w:t xml:space="preserve"> </w:t>
      </w:r>
    </w:p>
    <w:p w14:paraId="437323FA" w14:textId="7A95D79A" w:rsidR="00E54218" w:rsidRPr="00E84D59" w:rsidRDefault="0087737D" w:rsidP="00615DB8">
      <w:pPr>
        <w:spacing w:line="480" w:lineRule="auto"/>
        <w:ind w:firstLine="720"/>
      </w:pPr>
      <w:r>
        <w:t>O</w:t>
      </w:r>
      <w:r w:rsidRPr="00E84D59">
        <w:t xml:space="preserve">wing to </w:t>
      </w:r>
      <w:r>
        <w:t>psychopathy’s</w:t>
      </w:r>
      <w:r w:rsidRPr="00E84D59">
        <w:t xml:space="preserve"> multidimensionality, psychopathy subdimensions often bear distinct relations with </w:t>
      </w:r>
      <w:r>
        <w:t xml:space="preserve">various forms of </w:t>
      </w:r>
      <w:r w:rsidRPr="00E84D59">
        <w:t>sexual aggression (</w:t>
      </w:r>
      <w:r w:rsidR="009C2288" w:rsidRPr="00E84D59">
        <w:t>Carre, Mueller, Schleicher, &amp; Jones, 2018</w:t>
      </w:r>
      <w:r w:rsidRPr="00E84D59">
        <w:t>; Marcus &amp; Norris, 2014).</w:t>
      </w:r>
      <w:r>
        <w:t xml:space="preserve"> </w:t>
      </w:r>
      <w:r w:rsidR="00783F41">
        <w:t>Triarchi</w:t>
      </w:r>
      <w:r w:rsidR="00561E0D">
        <w:t>c</w:t>
      </w:r>
      <w:r w:rsidR="00783F41">
        <w:t xml:space="preserve"> dimensions</w:t>
      </w:r>
      <w:r w:rsidR="00B20DAF" w:rsidRPr="00E84D59">
        <w:t xml:space="preserve"> are associated with a broad swath of traits and behaviors </w:t>
      </w:r>
      <w:r w:rsidR="0019363B">
        <w:t xml:space="preserve">ostensibly </w:t>
      </w:r>
      <w:r w:rsidR="00B20DAF" w:rsidRPr="00E84D59">
        <w:t>adjacent to ISOP, including workplace sexual harassment</w:t>
      </w:r>
      <w:r w:rsidR="00B20DAF" w:rsidRPr="00E84D59">
        <w:rPr>
          <w:rStyle w:val="FootnoteReference"/>
        </w:rPr>
        <w:footnoteReference w:id="2"/>
      </w:r>
      <w:r w:rsidR="00B20DAF" w:rsidRPr="00E84D59">
        <w:t xml:space="preserve"> (Carre</w:t>
      </w:r>
      <w:r w:rsidR="009C2288">
        <w:t xml:space="preserve"> et al.</w:t>
      </w:r>
      <w:r w:rsidR="00B20DAF" w:rsidRPr="00E84D59">
        <w:t xml:space="preserve">, </w:t>
      </w:r>
      <w:r w:rsidR="00B20DAF" w:rsidRPr="00E84D59">
        <w:lastRenderedPageBreak/>
        <w:t>2018; Zeigler-Hill, Besser, Morag &amp; Campbell, 2016), sexual assault and coercion (Marcus &amp; Norris, 2014),</w:t>
      </w:r>
      <w:r w:rsidR="0019363B">
        <w:t xml:space="preserve"> </w:t>
      </w:r>
      <w:r w:rsidR="009C2288">
        <w:t xml:space="preserve">and </w:t>
      </w:r>
      <w:r w:rsidR="0019363B">
        <w:t>sexual deviance</w:t>
      </w:r>
      <w:r w:rsidR="00B20DAF" w:rsidRPr="00E84D59">
        <w:t xml:space="preserve"> recidivism (Olver &amp; Wong, 2006</w:t>
      </w:r>
      <w:r w:rsidR="0019363B">
        <w:t xml:space="preserve">; </w:t>
      </w:r>
      <w:r w:rsidR="0019363B" w:rsidRPr="00E84D59">
        <w:t>S</w:t>
      </w:r>
      <w:r w:rsidR="0019363B">
        <w:t>erin, Mailloux, &amp; Malcolm, 2001</w:t>
      </w:r>
      <w:r w:rsidR="009C2288">
        <w:t>)</w:t>
      </w:r>
      <w:r w:rsidR="00B20DAF" w:rsidRPr="00E84D59">
        <w:t xml:space="preserve">. </w:t>
      </w:r>
      <w:r w:rsidR="00E54218" w:rsidRPr="00E84D59">
        <w:t>Meanness features seem to be most strongly associated with violent sexual behaviors and harassment propensity but negatively related to the use of flattery, verbal pressure, and arguments to cajole others into sexual intercourse (Carre et al., 2018; Kosson, Kelly, &amp; White, 1997), whereas disinhibition features tend to better predict broader sexual aggression, including violence, harassment propensity, and use of coercive tactics (Knight &amp; Guay, 2018). Given these findings, psychopath</w:t>
      </w:r>
      <w:r>
        <w:t xml:space="preserve">y subdimensions </w:t>
      </w:r>
      <w:r w:rsidR="00E54218" w:rsidRPr="00E84D59">
        <w:t xml:space="preserve">probably diverge in their relations with ISOP, although the exact contours of these divergences are unknown. </w:t>
      </w:r>
    </w:p>
    <w:p w14:paraId="001F26F9" w14:textId="42AD0158" w:rsidR="00D77DF4" w:rsidRDefault="001F0D0E" w:rsidP="009570EF">
      <w:pPr>
        <w:spacing w:line="480" w:lineRule="auto"/>
        <w:ind w:firstLine="720"/>
      </w:pPr>
      <w:r>
        <w:t xml:space="preserve">Further, there is broad agreement in the literature that </w:t>
      </w:r>
      <w:r w:rsidRPr="00394391">
        <w:t xml:space="preserve">psychopathy measures are imbued with low Agreeableness </w:t>
      </w:r>
      <w:r w:rsidR="001C3574">
        <w:t xml:space="preserve">(antagonism) </w:t>
      </w:r>
      <w:r w:rsidRPr="00394391">
        <w:t>and low Conscientiousness</w:t>
      </w:r>
      <w:r w:rsidR="001C3574">
        <w:t xml:space="preserve"> (impulsivity)</w:t>
      </w:r>
      <w:r w:rsidRPr="00394391">
        <w:t>,</w:t>
      </w:r>
      <w:r>
        <w:t xml:space="preserve"> and many authors assert that p</w:t>
      </w:r>
      <w:r w:rsidRPr="00E84D59">
        <w:t xml:space="preserve">sychopathy </w:t>
      </w:r>
      <w:r>
        <w:t>largely</w:t>
      </w:r>
      <w:r w:rsidRPr="00E84D59">
        <w:t xml:space="preserve"> reflects a combination </w:t>
      </w:r>
      <w:r w:rsidR="001C3574">
        <w:t>or</w:t>
      </w:r>
      <w:r w:rsidRPr="00E84D59">
        <w:t xml:space="preserve"> configuration of personality traits </w:t>
      </w:r>
      <w:r>
        <w:t>such as</w:t>
      </w:r>
      <w:r w:rsidRPr="00E84D59">
        <w:t xml:space="preserve"> surgent extraversion, emotional stability, antagonism, </w:t>
      </w:r>
      <w:r w:rsidR="0019363B">
        <w:t xml:space="preserve">emotional detachment, </w:t>
      </w:r>
      <w:r>
        <w:t xml:space="preserve">and </w:t>
      </w:r>
      <w:r w:rsidRPr="00E84D59">
        <w:t>impulsiv</w:t>
      </w:r>
      <w:r>
        <w:t>ity</w:t>
      </w:r>
      <w:r w:rsidRPr="00E84D59">
        <w:t xml:space="preserve"> </w:t>
      </w:r>
      <w:r>
        <w:t xml:space="preserve">(Lilienfeld et al., 2015). Hence, </w:t>
      </w:r>
      <w:r w:rsidRPr="00394391">
        <w:t xml:space="preserve">the specificity of </w:t>
      </w:r>
      <w:r>
        <w:t>potential</w:t>
      </w:r>
      <w:r w:rsidRPr="00394391">
        <w:t xml:space="preserve"> relations between psychopathic traits </w:t>
      </w:r>
      <w:r w:rsidR="007A26AA">
        <w:t xml:space="preserve">and </w:t>
      </w:r>
      <w:r w:rsidRPr="00394391">
        <w:t xml:space="preserve">ISOP is </w:t>
      </w:r>
      <w:r>
        <w:t>uncertain</w:t>
      </w:r>
      <w:r w:rsidR="00F758B4">
        <w:t>:</w:t>
      </w:r>
      <w:r>
        <w:t xml:space="preserve"> other </w:t>
      </w:r>
      <w:r w:rsidRPr="00E84D59">
        <w:t>putatively “dark” or maladaptive traits, including narcissism, sadism, impulsivity, and (low) em</w:t>
      </w:r>
      <w:r w:rsidR="007A26AA">
        <w:t>pathy, may be equally predictive of ISOP. N</w:t>
      </w:r>
      <w:r w:rsidR="007A26AA" w:rsidRPr="00E84D59">
        <w:t>arcissism and sadism</w:t>
      </w:r>
      <w:r w:rsidR="007A26AA">
        <w:t xml:space="preserve"> are </w:t>
      </w:r>
      <w:r w:rsidR="007A26AA" w:rsidRPr="00E84D59">
        <w:t>established risk factors for sexual aggression (e.g., Mokros, Osterh</w:t>
      </w:r>
      <w:r w:rsidR="007A26AA">
        <w:t>eider, Hucker, &amp; Nitschke, 2011</w:t>
      </w:r>
      <w:r w:rsidR="007A26AA" w:rsidRPr="00E84D59">
        <w:t>; Widman &amp; McNulty, 2010</w:t>
      </w:r>
      <w:r w:rsidR="007A26AA">
        <w:t xml:space="preserve">) and </w:t>
      </w:r>
      <w:r w:rsidR="007A26AA" w:rsidRPr="00E84D59">
        <w:t xml:space="preserve">may manifest as a “you’re an object for my pleasure”-like mentality marked by lessened concern with </w:t>
      </w:r>
      <w:r w:rsidR="007A26AA">
        <w:t xml:space="preserve">others’ sexual needs </w:t>
      </w:r>
      <w:r w:rsidR="004205B9">
        <w:t>(Franz et al., 2018; Mouilso &amp; Calhoun, 2012)</w:t>
      </w:r>
      <w:r w:rsidR="007A26AA">
        <w:t>. I</w:t>
      </w:r>
      <w:r w:rsidR="007A26AA" w:rsidRPr="00E84D59">
        <w:t>mpulsigenic traits (Sharma, Markon, &amp; Clark, 2014</w:t>
      </w:r>
      <w:r w:rsidR="007A26AA">
        <w:t xml:space="preserve">), </w:t>
      </w:r>
      <w:r w:rsidR="007A26AA" w:rsidRPr="00E84D59">
        <w:t xml:space="preserve">including disinhibition and sensation seeking, are involved in myriad </w:t>
      </w:r>
      <w:r w:rsidR="007A26AA" w:rsidRPr="00E84D59">
        <w:lastRenderedPageBreak/>
        <w:t xml:space="preserve">externalizing behaviors that manifest in </w:t>
      </w:r>
      <w:r w:rsidR="007A26AA">
        <w:t xml:space="preserve">maladaptive </w:t>
      </w:r>
      <w:r w:rsidR="007A26AA" w:rsidRPr="00E84D59">
        <w:t>sexual behavior (</w:t>
      </w:r>
      <w:r w:rsidR="009C2288">
        <w:t xml:space="preserve">e.g., </w:t>
      </w:r>
      <w:r w:rsidR="007A26AA" w:rsidRPr="00E84D59">
        <w:t>Dir, Coskunpinar, &amp; Cyders, 2014).</w:t>
      </w:r>
      <w:r w:rsidR="007A26AA">
        <w:t xml:space="preserve"> Further, a </w:t>
      </w:r>
      <w:r w:rsidR="007A26AA" w:rsidRPr="00E84D59">
        <w:t>paucity of affective empathy (</w:t>
      </w:r>
      <w:r w:rsidR="007A26AA">
        <w:t>i.e.,</w:t>
      </w:r>
      <w:r w:rsidR="007A26AA" w:rsidRPr="00E84D59">
        <w:t xml:space="preserve"> emotional resonance with or caring for the feelings of others; Shamay-Tsoory, Aharon-Peretz, &amp; Perry, 2009</w:t>
      </w:r>
      <w:r w:rsidR="007A26AA">
        <w:t>)</w:t>
      </w:r>
      <w:r w:rsidR="007A26AA" w:rsidRPr="00E84D59">
        <w:t xml:space="preserve"> may</w:t>
      </w:r>
      <w:r w:rsidR="007A26AA">
        <w:t xml:space="preserve"> </w:t>
      </w:r>
      <w:r w:rsidR="007A26AA" w:rsidRPr="00E84D59">
        <w:t>lie at the</w:t>
      </w:r>
      <w:r w:rsidR="007A26AA">
        <w:t xml:space="preserve"> heart of ISOP, which </w:t>
      </w:r>
      <w:r w:rsidR="007A26AA" w:rsidRPr="00E84D59">
        <w:t xml:space="preserve">entails the treatment of </w:t>
      </w:r>
      <w:r w:rsidR="007A26AA">
        <w:t>others</w:t>
      </w:r>
      <w:r w:rsidR="007A26AA" w:rsidRPr="00E84D59">
        <w:t xml:space="preserve"> as object</w:t>
      </w:r>
      <w:r w:rsidR="007A26AA">
        <w:t>s</w:t>
      </w:r>
      <w:r w:rsidR="007A26AA" w:rsidRPr="00E84D59">
        <w:t xml:space="preserve"> whose affective experiences need not be considered (</w:t>
      </w:r>
      <w:r w:rsidR="009C2288">
        <w:t>Langton, 2009</w:t>
      </w:r>
      <w:r w:rsidR="007A26AA" w:rsidRPr="00E84D59">
        <w:t>)</w:t>
      </w:r>
      <w:r w:rsidR="007A26AA">
        <w:t xml:space="preserve">. Lending greater credence to the </w:t>
      </w:r>
      <w:r w:rsidR="009C2288">
        <w:t>question of</w:t>
      </w:r>
      <w:r w:rsidR="007A26AA">
        <w:t xml:space="preserve"> specificity, m</w:t>
      </w:r>
      <w:r w:rsidR="00394DA1" w:rsidRPr="00E84D59">
        <w:t xml:space="preserve">any traits </w:t>
      </w:r>
      <w:r w:rsidR="00394DA1">
        <w:t xml:space="preserve">adjacent to </w:t>
      </w:r>
      <w:r w:rsidR="00394DA1" w:rsidRPr="00E84D59">
        <w:t>psychopathy, including Machiavellianism (Zeigler-Hill et al., 2016), low honesty-humility, low agreeableness (Lee, Gizzarone, &amp; Ashton, 2003), and low empathy (e.g., Stillman, Yamawaki, Ridge, White, &amp; Copley, 2009) are implicated in sexual harassment propensity</w:t>
      </w:r>
      <w:r w:rsidR="007A26AA">
        <w:t>.</w:t>
      </w:r>
      <w:r w:rsidR="00E107CB">
        <w:t xml:space="preserve"> </w:t>
      </w:r>
    </w:p>
    <w:p w14:paraId="316D1D87" w14:textId="540EFAE1" w:rsidR="00AB7B77" w:rsidRPr="00E84D59" w:rsidRDefault="00615EF6" w:rsidP="00615EF6">
      <w:pPr>
        <w:spacing w:line="480" w:lineRule="auto"/>
        <w:rPr>
          <w:b/>
        </w:rPr>
      </w:pPr>
      <w:r>
        <w:rPr>
          <w:b/>
        </w:rPr>
        <w:t>Conceptualization and Measurement of ISOP</w:t>
      </w:r>
      <w:r w:rsidR="00AB7B77" w:rsidRPr="00E84D59">
        <w:rPr>
          <w:b/>
        </w:rPr>
        <w:t xml:space="preserve"> </w:t>
      </w:r>
    </w:p>
    <w:p w14:paraId="32AE96D7" w14:textId="5994756F" w:rsidR="00455C7B" w:rsidRPr="00E84D59" w:rsidRDefault="00E77642" w:rsidP="007923A3">
      <w:pPr>
        <w:spacing w:line="480" w:lineRule="auto"/>
        <w:ind w:firstLine="720"/>
      </w:pPr>
      <w:r w:rsidRPr="00E84D59">
        <w:t>In service of</w:t>
      </w:r>
      <w:r w:rsidR="006C056D" w:rsidRPr="00E84D59">
        <w:t xml:space="preserve"> elucidating ISOP’s largely unknown risk factors</w:t>
      </w:r>
      <w:r w:rsidRPr="00E84D59">
        <w:t xml:space="preserve">, Gervais, DiLillo, and McChargue (2014) developed the </w:t>
      </w:r>
      <w:r w:rsidRPr="00E84D59">
        <w:rPr>
          <w:i/>
        </w:rPr>
        <w:t>Interpersonal Sexual Objectification Scale—Perpetrator Version</w:t>
      </w:r>
      <w:r w:rsidRPr="00E84D59">
        <w:t xml:space="preserve"> (ISOS-P), </w:t>
      </w:r>
      <w:r w:rsidR="00E71936">
        <w:t>a</w:t>
      </w:r>
      <w:r w:rsidRPr="00E84D59">
        <w:t xml:space="preserve"> self-report instrument</w:t>
      </w:r>
      <w:r w:rsidR="008C600B" w:rsidRPr="00E84D59">
        <w:t xml:space="preserve"> </w:t>
      </w:r>
      <w:r w:rsidRPr="00E84D59">
        <w:t xml:space="preserve">designed to assess </w:t>
      </w:r>
      <w:r w:rsidR="00E71936">
        <w:t xml:space="preserve">one’s </w:t>
      </w:r>
      <w:r w:rsidRPr="00E84D59">
        <w:t xml:space="preserve">propensity </w:t>
      </w:r>
      <w:r w:rsidR="006C056D" w:rsidRPr="00E84D59">
        <w:t xml:space="preserve">towards behavioral manifestations of sexual objectification </w:t>
      </w:r>
      <w:r w:rsidR="00DC19FF" w:rsidRPr="00E84D59">
        <w:t xml:space="preserve">(e.g., </w:t>
      </w:r>
      <w:r w:rsidRPr="00E84D59">
        <w:t xml:space="preserve">leering gazes, unsolicited </w:t>
      </w:r>
      <w:r w:rsidR="00E71936">
        <w:t xml:space="preserve">objectifying </w:t>
      </w:r>
      <w:r w:rsidRPr="00E84D59">
        <w:t>comments, groping, and catcalling</w:t>
      </w:r>
      <w:r w:rsidR="003B0270" w:rsidRPr="00E84D59">
        <w:t>)</w:t>
      </w:r>
      <w:r w:rsidRPr="00E84D59">
        <w:t xml:space="preserve">. </w:t>
      </w:r>
      <w:r w:rsidR="00180F99">
        <w:t xml:space="preserve">ISOS-P total </w:t>
      </w:r>
      <w:r w:rsidR="00180F99" w:rsidRPr="00180F99">
        <w:t xml:space="preserve">scores </w:t>
      </w:r>
      <w:r w:rsidR="00180F99">
        <w:t xml:space="preserve">have </w:t>
      </w:r>
      <w:r w:rsidR="00180F99" w:rsidRPr="00180F99">
        <w:t xml:space="preserve">demonstrated promising convergent validity, manifesting associations with other-objectification, body surveillance, </w:t>
      </w:r>
      <w:r w:rsidR="00180F99">
        <w:t xml:space="preserve">and </w:t>
      </w:r>
      <w:r w:rsidR="00180F99" w:rsidRPr="00180F99">
        <w:t xml:space="preserve">sexual </w:t>
      </w:r>
      <w:r w:rsidR="00180F99">
        <w:t xml:space="preserve">aggression (Gervais </w:t>
      </w:r>
      <w:r w:rsidR="009A3856">
        <w:t>et al., 2018)</w:t>
      </w:r>
      <w:r w:rsidR="00B534DE">
        <w:t>.</w:t>
      </w:r>
      <w:r w:rsidR="00A64308">
        <w:t xml:space="preserve"> </w:t>
      </w:r>
      <w:r w:rsidR="0056347B" w:rsidRPr="00E84D59">
        <w:t>D</w:t>
      </w:r>
      <w:r w:rsidR="00BE6DD7" w:rsidRPr="00E84D59">
        <w:t>espite its merits</w:t>
      </w:r>
      <w:r w:rsidRPr="00E84D59">
        <w:t xml:space="preserve">, </w:t>
      </w:r>
      <w:r w:rsidR="00906E66">
        <w:t xml:space="preserve">however, </w:t>
      </w:r>
      <w:r w:rsidRPr="00E84D59">
        <w:t>the ISOS-P</w:t>
      </w:r>
      <w:r w:rsidR="002005D8" w:rsidRPr="00E84D59">
        <w:t xml:space="preserve"> </w:t>
      </w:r>
      <w:r w:rsidRPr="00E84D59">
        <w:t>does not assess attitudes related to</w:t>
      </w:r>
      <w:r w:rsidR="00C36172" w:rsidRPr="00E84D59">
        <w:t xml:space="preserve"> </w:t>
      </w:r>
      <w:r w:rsidR="002005D8" w:rsidRPr="00E84D59">
        <w:t>sexual objectification</w:t>
      </w:r>
      <w:r w:rsidRPr="00E84D59">
        <w:t xml:space="preserve">. This omission is </w:t>
      </w:r>
      <w:r w:rsidR="00C95FCE" w:rsidRPr="00E84D59">
        <w:t xml:space="preserve">noteworthy </w:t>
      </w:r>
      <w:r w:rsidRPr="00E84D59">
        <w:t xml:space="preserve">as </w:t>
      </w:r>
      <w:r w:rsidR="00BA219F" w:rsidRPr="00E84D59">
        <w:t xml:space="preserve">measures targeting </w:t>
      </w:r>
      <w:r w:rsidR="002005D8" w:rsidRPr="00E84D59">
        <w:t xml:space="preserve">ISOP </w:t>
      </w:r>
      <w:r w:rsidR="00BA219F" w:rsidRPr="00E84D59">
        <w:t>attitudes may describe facet</w:t>
      </w:r>
      <w:r w:rsidR="00484B9D" w:rsidRPr="00E84D59">
        <w:t>s</w:t>
      </w:r>
      <w:r w:rsidR="00BA219F" w:rsidRPr="00E84D59">
        <w:t xml:space="preserve"> of </w:t>
      </w:r>
      <w:r w:rsidR="002005D8" w:rsidRPr="00E84D59">
        <w:t xml:space="preserve">sexual </w:t>
      </w:r>
      <w:r w:rsidR="00BA219F" w:rsidRPr="00E84D59">
        <w:t xml:space="preserve">objectification to which behavioral questionnaires are </w:t>
      </w:r>
      <w:r w:rsidR="0056347B" w:rsidRPr="00E84D59">
        <w:t xml:space="preserve">largely </w:t>
      </w:r>
      <w:r w:rsidR="00BA219F" w:rsidRPr="00E84D59">
        <w:t>insensitive.</w:t>
      </w:r>
      <w:r w:rsidR="00774D83" w:rsidRPr="00E84D59">
        <w:t xml:space="preserve"> As an example, </w:t>
      </w:r>
      <w:r w:rsidR="00D63709" w:rsidRPr="00E84D59">
        <w:t xml:space="preserve">although the </w:t>
      </w:r>
      <w:r w:rsidR="00BA219F" w:rsidRPr="00E84D59">
        <w:t xml:space="preserve">ISOS-P </w:t>
      </w:r>
      <w:r w:rsidR="00834D2B" w:rsidRPr="00E84D59">
        <w:t>assesses</w:t>
      </w:r>
      <w:r w:rsidR="00BA219F" w:rsidRPr="00E84D59">
        <w:t xml:space="preserve"> </w:t>
      </w:r>
      <w:r w:rsidR="00B03883" w:rsidRPr="00E84D59">
        <w:t xml:space="preserve">how </w:t>
      </w:r>
      <w:r w:rsidR="00BA219F" w:rsidRPr="00E84D59">
        <w:t>frequen</w:t>
      </w:r>
      <w:r w:rsidR="00B03883" w:rsidRPr="00E84D59">
        <w:t>tly</w:t>
      </w:r>
      <w:r w:rsidR="00BA219F" w:rsidRPr="00E84D59">
        <w:t xml:space="preserve"> one </w:t>
      </w:r>
      <w:r w:rsidR="00BA219F" w:rsidRPr="00E84D59">
        <w:rPr>
          <w:i/>
        </w:rPr>
        <w:t>treats</w:t>
      </w:r>
      <w:r w:rsidR="00BA219F" w:rsidRPr="00E84D59">
        <w:t xml:space="preserve"> others as sexual objects</w:t>
      </w:r>
      <w:r w:rsidR="000E792A" w:rsidRPr="00E84D59">
        <w:t>,</w:t>
      </w:r>
      <w:r w:rsidR="00BA219F" w:rsidRPr="00E84D59">
        <w:t xml:space="preserve"> </w:t>
      </w:r>
      <w:r w:rsidR="00D63709" w:rsidRPr="00E84D59">
        <w:t>such behavior</w:t>
      </w:r>
      <w:r w:rsidR="00B03883" w:rsidRPr="00E84D59">
        <w:t>s</w:t>
      </w:r>
      <w:r w:rsidR="00D63709" w:rsidRPr="00E84D59">
        <w:t xml:space="preserve"> may not </w:t>
      </w:r>
      <w:r w:rsidR="000E792A" w:rsidRPr="00E84D59">
        <w:t xml:space="preserve">invariably </w:t>
      </w:r>
      <w:r w:rsidR="00D63709" w:rsidRPr="00E84D59">
        <w:t xml:space="preserve">correspond with </w:t>
      </w:r>
      <w:r w:rsidR="000E792A" w:rsidRPr="00E84D59">
        <w:t xml:space="preserve">the degree to which one </w:t>
      </w:r>
      <w:r w:rsidR="000E792A" w:rsidRPr="00E84D59">
        <w:rPr>
          <w:i/>
        </w:rPr>
        <w:t>views</w:t>
      </w:r>
      <w:r w:rsidR="000E792A" w:rsidRPr="00E84D59">
        <w:t xml:space="preserve"> others as sexual objects</w:t>
      </w:r>
      <w:r w:rsidR="00FF20C7" w:rsidRPr="00E84D59">
        <w:t xml:space="preserve"> (Bloom, 2018).</w:t>
      </w:r>
      <w:r w:rsidR="000E792A" w:rsidRPr="00E84D59">
        <w:t xml:space="preserve"> </w:t>
      </w:r>
      <w:r w:rsidR="00E71936">
        <w:t>A</w:t>
      </w:r>
      <w:r w:rsidR="00476933" w:rsidRPr="00E84D59">
        <w:t>ttitudinal assessments of ISOP (e.g., “people are worth more than just their physical appearance”) may better capture the “sexual solipsism”</w:t>
      </w:r>
      <w:r w:rsidR="00E71936">
        <w:t xml:space="preserve"> that many consider part and parcel of ISOP</w:t>
      </w:r>
      <w:r w:rsidR="00732B78" w:rsidRPr="00732B78">
        <w:t xml:space="preserve"> </w:t>
      </w:r>
      <w:r w:rsidR="00732B78" w:rsidRPr="00E84D59">
        <w:t>(Langton, 2009)</w:t>
      </w:r>
      <w:r w:rsidR="00732B78">
        <w:t xml:space="preserve">. </w:t>
      </w:r>
      <w:r w:rsidR="00476933" w:rsidRPr="00E84D59">
        <w:t xml:space="preserve"> </w:t>
      </w:r>
    </w:p>
    <w:p w14:paraId="2C01AA83" w14:textId="2142CE85" w:rsidR="00531508" w:rsidRDefault="00FD2D56" w:rsidP="00883838">
      <w:pPr>
        <w:spacing w:line="480" w:lineRule="auto"/>
        <w:ind w:firstLine="720"/>
      </w:pPr>
      <w:r>
        <w:lastRenderedPageBreak/>
        <w:t>E</w:t>
      </w:r>
      <w:r w:rsidR="002A3336" w:rsidRPr="00E84D59">
        <w:t>xtending the ISOP construct to attitudes</w:t>
      </w:r>
      <w:r>
        <w:t xml:space="preserve"> offers several further benefits</w:t>
      </w:r>
      <w:r w:rsidR="002A3336" w:rsidRPr="00E84D59">
        <w:t xml:space="preserve">. First, </w:t>
      </w:r>
      <w:r w:rsidR="00011134">
        <w:t xml:space="preserve">given that </w:t>
      </w:r>
      <w:r w:rsidR="000A4E68">
        <w:t xml:space="preserve">rape supportive attitudes are important predictors of sexual assault, ISOP attitudes may similarly predict </w:t>
      </w:r>
      <w:r w:rsidR="0059682A">
        <w:t>ISOP behaviors</w:t>
      </w:r>
      <w:r w:rsidR="002A3336" w:rsidRPr="00E84D59">
        <w:t xml:space="preserve"> (</w:t>
      </w:r>
      <w:r w:rsidR="002A3336" w:rsidRPr="00E84D59">
        <w:rPr>
          <w:shd w:val="clear" w:color="auto" w:fill="FFFFFF"/>
        </w:rPr>
        <w:t>Suarez &amp; Gadalla, 2010</w:t>
      </w:r>
      <w:r w:rsidR="002A3336" w:rsidRPr="00E84D59">
        <w:t>)</w:t>
      </w:r>
      <w:r w:rsidR="0059682A">
        <w:t xml:space="preserve">. </w:t>
      </w:r>
      <w:r w:rsidR="00476933" w:rsidRPr="00E84D59">
        <w:t>Second</w:t>
      </w:r>
      <w:r w:rsidR="00144E3C" w:rsidRPr="00E84D59">
        <w:t>, sexual</w:t>
      </w:r>
      <w:r w:rsidR="00A87261" w:rsidRPr="00E84D59">
        <w:t>ly</w:t>
      </w:r>
      <w:r w:rsidR="00144E3C" w:rsidRPr="00E84D59">
        <w:t xml:space="preserve"> </w:t>
      </w:r>
      <w:r w:rsidR="00A87261" w:rsidRPr="00E84D59">
        <w:t>aggressive</w:t>
      </w:r>
      <w:r w:rsidR="00144E3C" w:rsidRPr="00E84D59">
        <w:t xml:space="preserve"> attitudes </w:t>
      </w:r>
      <w:r w:rsidR="008955BC">
        <w:t>are probably</w:t>
      </w:r>
      <w:r w:rsidR="008955BC" w:rsidRPr="00E84D59">
        <w:t xml:space="preserve"> </w:t>
      </w:r>
      <w:r w:rsidR="00144E3C" w:rsidRPr="00E84D59">
        <w:t>more normative than sexually aggressive behaviors</w:t>
      </w:r>
      <w:r w:rsidR="00E845FC" w:rsidRPr="00E84D59">
        <w:t xml:space="preserve">, </w:t>
      </w:r>
      <w:r w:rsidR="00A87261" w:rsidRPr="00E84D59">
        <w:t xml:space="preserve">the latter of </w:t>
      </w:r>
      <w:r w:rsidR="00E845FC" w:rsidRPr="00E84D59">
        <w:t xml:space="preserve">which may be marked by range restriction in </w:t>
      </w:r>
      <w:r w:rsidR="008955BC">
        <w:t>non-incarcerated</w:t>
      </w:r>
      <w:r w:rsidR="00E845FC" w:rsidRPr="00E84D59">
        <w:t xml:space="preserve"> samples</w:t>
      </w:r>
      <w:r w:rsidR="00144E3C" w:rsidRPr="00E84D59">
        <w:t xml:space="preserve">. </w:t>
      </w:r>
      <w:r w:rsidR="006D6916" w:rsidRPr="00E84D59">
        <w:t>Third,</w:t>
      </w:r>
      <w:r w:rsidR="00D27DF6" w:rsidRPr="00E84D59">
        <w:t xml:space="preserve"> </w:t>
      </w:r>
      <w:r w:rsidR="006D6916" w:rsidRPr="00E84D59">
        <w:t>ISOP attitudes</w:t>
      </w:r>
      <w:r w:rsidR="00DA5E21">
        <w:t xml:space="preserve"> may interact with</w:t>
      </w:r>
      <w:r w:rsidR="00D27DF6" w:rsidRPr="00E84D59">
        <w:t xml:space="preserve"> individual difference characteristics,</w:t>
      </w:r>
      <w:r w:rsidR="00ED7A25">
        <w:t xml:space="preserve"> including psychopathic traits</w:t>
      </w:r>
      <w:r w:rsidR="00D27DF6" w:rsidRPr="00E84D59">
        <w:t>, such that the two in concert confer the greatest risk for ISOP behaviors</w:t>
      </w:r>
      <w:r w:rsidR="00996AF5">
        <w:t xml:space="preserve"> (</w:t>
      </w:r>
      <w:r w:rsidR="00996AF5" w:rsidRPr="00E84D59">
        <w:t>Ajzen, 2001</w:t>
      </w:r>
      <w:r w:rsidR="009C2288">
        <w:t>; see also Williams et al., 2009, who found that psychopathy potentiated relations between paraphilic interests and paraphilic behaviors</w:t>
      </w:r>
      <w:r w:rsidR="00996AF5">
        <w:t>)</w:t>
      </w:r>
      <w:r w:rsidR="00D27DF6" w:rsidRPr="00E84D59">
        <w:t xml:space="preserve">. </w:t>
      </w:r>
      <w:r w:rsidR="00A9078B" w:rsidRPr="00E84D59" w:rsidDel="00695921">
        <w:t>S</w:t>
      </w:r>
      <w:r w:rsidR="00A9078B" w:rsidRPr="00E84D59">
        <w:t>tudying</w:t>
      </w:r>
      <w:r w:rsidR="00D27DF6" w:rsidRPr="00E84D59">
        <w:t xml:space="preserve"> </w:t>
      </w:r>
      <w:r w:rsidR="00144E3C" w:rsidRPr="00E84D59">
        <w:t xml:space="preserve">ISOP attitudes and behaviors in tandem </w:t>
      </w:r>
      <w:r w:rsidR="00F148B5" w:rsidRPr="00E84D59">
        <w:t>may</w:t>
      </w:r>
      <w:r w:rsidR="00A430CA" w:rsidRPr="00E84D59">
        <w:t xml:space="preserve"> </w:t>
      </w:r>
      <w:r w:rsidR="002A3336" w:rsidRPr="00E84D59">
        <w:t xml:space="preserve">allow researchers to examine </w:t>
      </w:r>
      <w:r w:rsidR="00AA6BD2" w:rsidRPr="00E84D59">
        <w:t xml:space="preserve">the nature of their overlap, </w:t>
      </w:r>
      <w:r w:rsidR="00380668" w:rsidRPr="00E84D59">
        <w:t xml:space="preserve">identify </w:t>
      </w:r>
      <w:r w:rsidR="00A87261" w:rsidRPr="00E84D59">
        <w:t>risk factors for attitude-behavior concordance</w:t>
      </w:r>
      <w:r w:rsidR="00AA6BD2" w:rsidRPr="00E84D59">
        <w:t>, and</w:t>
      </w:r>
      <w:r w:rsidR="00A87261" w:rsidRPr="00E84D59">
        <w:t xml:space="preserve"> </w:t>
      </w:r>
      <w:r w:rsidR="00380668" w:rsidRPr="00E84D59">
        <w:t xml:space="preserve">elucidate the </w:t>
      </w:r>
      <w:r w:rsidR="002A3336" w:rsidRPr="00E84D59">
        <w:t xml:space="preserve">extent to which </w:t>
      </w:r>
      <w:r w:rsidR="00A87261" w:rsidRPr="00E84D59">
        <w:t xml:space="preserve">the two domains </w:t>
      </w:r>
      <w:r w:rsidR="00E845FC" w:rsidRPr="00E84D59">
        <w:t xml:space="preserve">are </w:t>
      </w:r>
      <w:r w:rsidR="00AA6BD2" w:rsidRPr="00E84D59">
        <w:t>associated with differing</w:t>
      </w:r>
      <w:r w:rsidR="002A3336" w:rsidRPr="00E84D59">
        <w:t xml:space="preserve"> nomological networks. </w:t>
      </w:r>
    </w:p>
    <w:p w14:paraId="1CC5DFDC" w14:textId="12893575" w:rsidR="00531089" w:rsidRDefault="00531089" w:rsidP="00D677C2">
      <w:pPr>
        <w:spacing w:line="480" w:lineRule="auto"/>
        <w:ind w:firstLine="720"/>
      </w:pPr>
      <w:r w:rsidRPr="00531089">
        <w:t>Historically, the majority of research on both ISOP and psychopathy has drawn from exclusively male samples, in part because mean levels of both constructs are higher among men (Cale &amp; Lilienfeld, 2002; Gervais, Saez, Riemer, &amp; Klein, 2019). This gender disparity is especially wide in the ISOP literature, which primarily seeks to understand the objectification of women. Indeed, the concept of sexual objectification stems largely from feminist scholarship that frames ISOP as symptomatic of broader cultural processes rooted in misogyny (Frederickson &amp; Roberts, 1997; Nussbaum, 1995). Given the growing evidence from large, often nationally representative samples</w:t>
      </w:r>
      <w:r w:rsidR="001C3574">
        <w:t>,</w:t>
      </w:r>
      <w:r w:rsidRPr="00531089">
        <w:t xml:space="preserve"> that (a) sexual aggression perpetration is comparable in prevalence across gender (</w:t>
      </w:r>
      <w:r w:rsidR="00DC0D2B">
        <w:t xml:space="preserve">Fedina, Holmes, &amp; Backes, 2018; </w:t>
      </w:r>
      <w:r w:rsidRPr="00531089">
        <w:t>Stemple, Flores, &amp; Meyer, 2016); (b) female sexual aggression mostly targets men (Cantor et al., 2015;</w:t>
      </w:r>
      <w:r w:rsidR="009C2288">
        <w:t xml:space="preserve"> Fedina, Holmes, &amp; Backes, 2018</w:t>
      </w:r>
      <w:r w:rsidRPr="00531089">
        <w:t xml:space="preserve">); and (c) both women and men are targeted by objectification (e.g., Gervais, Vescio, &amp; Allen, 2011), </w:t>
      </w:r>
      <w:r w:rsidR="001C3574">
        <w:t xml:space="preserve">neglecting to study ISOP in women is no longer </w:t>
      </w:r>
      <w:r w:rsidRPr="00531089">
        <w:t>justifiable.</w:t>
      </w:r>
      <w:r>
        <w:t xml:space="preserve"> </w:t>
      </w:r>
    </w:p>
    <w:p w14:paraId="1729F0EF" w14:textId="77777777" w:rsidR="00636218" w:rsidRDefault="000E3AF7" w:rsidP="00D92274">
      <w:pPr>
        <w:spacing w:line="480" w:lineRule="auto"/>
        <w:ind w:firstLine="720"/>
      </w:pPr>
      <w:r>
        <w:lastRenderedPageBreak/>
        <w:t>Further, p</w:t>
      </w:r>
      <w:r w:rsidR="00DC0D2B">
        <w:t xml:space="preserve">sychopathy </w:t>
      </w:r>
      <w:r w:rsidR="00DC0D2B" w:rsidRPr="00AD1E32">
        <w:t>manifest</w:t>
      </w:r>
      <w:r w:rsidR="007903B6" w:rsidRPr="00AD1E32">
        <w:t>s</w:t>
      </w:r>
      <w:r w:rsidR="00DC0D2B">
        <w:t xml:space="preserve"> differently </w:t>
      </w:r>
      <w:r w:rsidR="000809AA">
        <w:t>across gender (</w:t>
      </w:r>
      <w:r w:rsidR="00DC0D2B">
        <w:t>e.g., Sellbom, Donnelly, Roc</w:t>
      </w:r>
      <w:r w:rsidR="000809AA">
        <w:t>k, Phillips, &amp; Ben-Porath, 2017)</w:t>
      </w:r>
      <w:r w:rsidR="00C83588">
        <w:t xml:space="preserve"> and</w:t>
      </w:r>
      <w:r w:rsidR="00636218">
        <w:t xml:space="preserve"> these differences in presentation may extend to ISOP</w:t>
      </w:r>
      <w:r w:rsidR="00AD1E32">
        <w:t xml:space="preserve">. </w:t>
      </w:r>
      <w:r w:rsidR="00636218">
        <w:t>Although the broader literature remains mixed, a</w:t>
      </w:r>
      <w:r w:rsidR="001F2407">
        <w:t xml:space="preserve"> handful of recent investigations have demonstrated psychopathy by gender moderation for outcomes tied to sexual aggression, including sexual coercion (</w:t>
      </w:r>
      <w:r w:rsidR="001F2407" w:rsidRPr="00531089">
        <w:t>Hoffman</w:t>
      </w:r>
      <w:r w:rsidR="001F2407">
        <w:t>n</w:t>
      </w:r>
      <w:r w:rsidR="001F2407" w:rsidRPr="00531089">
        <w:t xml:space="preserve"> &amp; Verona, 2018</w:t>
      </w:r>
      <w:r w:rsidR="001F2407">
        <w:t>), physical intimate partner violence (</w:t>
      </w:r>
      <w:r w:rsidR="001F2407" w:rsidRPr="005A5B5E">
        <w:t>Mager, Bresin, &amp; Verona, 2014</w:t>
      </w:r>
      <w:r w:rsidR="001F2407">
        <w:t xml:space="preserve">), and rape myth acceptance (Watts, Bowes, Latzman, &amp; Lilienfeld, </w:t>
      </w:r>
      <w:r w:rsidR="001F2407" w:rsidRPr="00E84D59">
        <w:t>2017</w:t>
      </w:r>
      <w:r w:rsidR="00636218">
        <w:t xml:space="preserve">). </w:t>
      </w:r>
    </w:p>
    <w:p w14:paraId="7C54DEED" w14:textId="4E335051" w:rsidR="00B53FFF" w:rsidRDefault="00636218" w:rsidP="00D92274">
      <w:pPr>
        <w:spacing w:line="480" w:lineRule="auto"/>
        <w:ind w:firstLine="720"/>
      </w:pPr>
      <w:r>
        <w:t>C</w:t>
      </w:r>
      <w:r w:rsidR="00531089" w:rsidRPr="00531089">
        <w:t xml:space="preserve">ollapsing samples across gender </w:t>
      </w:r>
      <w:r w:rsidR="009C2288">
        <w:t>and</w:t>
      </w:r>
      <w:r w:rsidR="00531089" w:rsidRPr="00531089">
        <w:t xml:space="preserve">/or examining whether and to what degree gender moderates the expression of psychopathy in sexual objectification requires measurement instruments that assess the same latent constructs (i.e., measurement invariance) in men and women. </w:t>
      </w:r>
      <w:r>
        <w:t>Potentially problematically for our purposes, however, o</w:t>
      </w:r>
      <w:r w:rsidR="00531089" w:rsidRPr="00531089">
        <w:t xml:space="preserve">ne recent study found that item loadings in a bifactor interpretation of the ISOS-P </w:t>
      </w:r>
      <w:r>
        <w:t>were</w:t>
      </w:r>
      <w:r w:rsidR="00531089" w:rsidRPr="00531089">
        <w:t xml:space="preserve"> not invariant across men and women (Gervais et al., </w:t>
      </w:r>
      <w:r w:rsidR="00CC6C3B">
        <w:t>2018)</w:t>
      </w:r>
      <w:r>
        <w:t>.</w:t>
      </w:r>
      <w:r w:rsidR="00B53FFF">
        <w:t xml:space="preserve"> </w:t>
      </w:r>
      <w:r>
        <w:t>H</w:t>
      </w:r>
      <w:r w:rsidR="00CC6C3B">
        <w:t xml:space="preserve">ence, </w:t>
      </w:r>
      <w:r w:rsidR="00B53FFF" w:rsidRPr="00531089">
        <w:t xml:space="preserve">we </w:t>
      </w:r>
      <w:r>
        <w:t xml:space="preserve">also </w:t>
      </w:r>
      <w:r w:rsidR="001F2407">
        <w:t>examine</w:t>
      </w:r>
      <w:r w:rsidR="00B9793C">
        <w:t xml:space="preserve"> the measurement and structural invariance of the ISOS-P across </w:t>
      </w:r>
      <w:r>
        <w:t>gender</w:t>
      </w:r>
      <w:r w:rsidR="001F2407">
        <w:t xml:space="preserve"> in the present work.</w:t>
      </w:r>
    </w:p>
    <w:p w14:paraId="3D08FAE3" w14:textId="47F08CDA" w:rsidR="00FB399B" w:rsidRPr="00E84D59" w:rsidRDefault="00FF3812" w:rsidP="00531089">
      <w:pPr>
        <w:spacing w:line="480" w:lineRule="auto"/>
        <w:rPr>
          <w:b/>
        </w:rPr>
      </w:pPr>
      <w:r w:rsidRPr="00E84D59">
        <w:rPr>
          <w:b/>
        </w:rPr>
        <w:t>Hypotheses and Specific Aims</w:t>
      </w:r>
    </w:p>
    <w:p w14:paraId="281CEDF5" w14:textId="7BFFA00E" w:rsidR="001F2DC9" w:rsidRPr="00E84D59" w:rsidRDefault="001F2DC9" w:rsidP="00F514F7">
      <w:pPr>
        <w:spacing w:line="480" w:lineRule="auto"/>
        <w:rPr>
          <w:b/>
        </w:rPr>
      </w:pPr>
      <w:r w:rsidRPr="00E84D59">
        <w:tab/>
      </w:r>
      <w:r w:rsidR="00646CB4">
        <w:t xml:space="preserve">Given the reviewed evidence, </w:t>
      </w:r>
      <w:r w:rsidR="00E77642" w:rsidRPr="00E84D59">
        <w:t xml:space="preserve">we </w:t>
      </w:r>
      <w:r w:rsidR="00646CB4">
        <w:t>investigated</w:t>
      </w:r>
      <w:r w:rsidR="009E346F" w:rsidRPr="00E84D59">
        <w:t xml:space="preserve"> the nature and correlates of sexual objectification </w:t>
      </w:r>
      <w:r w:rsidR="00646CB4">
        <w:t>in</w:t>
      </w:r>
      <w:r w:rsidR="009E346F" w:rsidRPr="00E84D59">
        <w:t xml:space="preserve"> two </w:t>
      </w:r>
      <w:r w:rsidR="00B3087F">
        <w:t xml:space="preserve">mixed-gender </w:t>
      </w:r>
      <w:r w:rsidR="009E346F" w:rsidRPr="00E84D59">
        <w:t xml:space="preserve">community samples, </w:t>
      </w:r>
      <w:r w:rsidR="00202093" w:rsidRPr="00E84D59">
        <w:t xml:space="preserve">with the overarching aim of </w:t>
      </w:r>
      <w:r w:rsidR="009E346F" w:rsidRPr="00E84D59">
        <w:t xml:space="preserve">examining </w:t>
      </w:r>
      <w:r w:rsidR="00E77642" w:rsidRPr="00E84D59">
        <w:t xml:space="preserve">the extent to which psychopathic personality </w:t>
      </w:r>
      <w:r w:rsidR="009E346F" w:rsidRPr="00E84D59">
        <w:t>and</w:t>
      </w:r>
      <w:r w:rsidR="00646CB4">
        <w:t xml:space="preserve"> </w:t>
      </w:r>
      <w:r w:rsidR="009E346F" w:rsidRPr="00E84D59">
        <w:t xml:space="preserve">a broad </w:t>
      </w:r>
      <w:r w:rsidR="007A7209" w:rsidRPr="00E84D59">
        <w:t>swath</w:t>
      </w:r>
      <w:r w:rsidR="009E346F" w:rsidRPr="00E84D59">
        <w:t xml:space="preserve"> of </w:t>
      </w:r>
      <w:r w:rsidR="004956AB">
        <w:t>allied</w:t>
      </w:r>
      <w:r w:rsidR="004956AB" w:rsidRPr="00E84D59">
        <w:t xml:space="preserve"> </w:t>
      </w:r>
      <w:r w:rsidR="009E346F" w:rsidRPr="00E84D59">
        <w:t>individual difference variables, including narcissism, impulsivity, empathy, sadism</w:t>
      </w:r>
      <w:r w:rsidR="006D4727" w:rsidRPr="00E84D59">
        <w:t>,</w:t>
      </w:r>
      <w:r w:rsidR="009E346F" w:rsidRPr="00E84D59">
        <w:t xml:space="preserve"> </w:t>
      </w:r>
      <w:r w:rsidR="009C2288">
        <w:t>and general personality</w:t>
      </w:r>
      <w:r w:rsidR="003D27C3" w:rsidRPr="00E84D59">
        <w:t xml:space="preserve"> </w:t>
      </w:r>
      <w:r w:rsidR="00E77642" w:rsidRPr="00E84D59">
        <w:t xml:space="preserve">bear implications for </w:t>
      </w:r>
      <w:r w:rsidR="00F13433" w:rsidRPr="00E84D59">
        <w:t>ISOP</w:t>
      </w:r>
      <w:r w:rsidR="00D4391C" w:rsidRPr="00E84D59">
        <w:t xml:space="preserve">. </w:t>
      </w:r>
    </w:p>
    <w:p w14:paraId="30F238B0" w14:textId="3E23A279" w:rsidR="00531089" w:rsidRPr="00531089" w:rsidRDefault="00E77642" w:rsidP="00F760B0">
      <w:pPr>
        <w:spacing w:line="480" w:lineRule="auto"/>
        <w:ind w:firstLine="720"/>
      </w:pPr>
      <w:r w:rsidRPr="00E84D59">
        <w:rPr>
          <w:b/>
        </w:rPr>
        <w:t xml:space="preserve">Aim 1: Broadening </w:t>
      </w:r>
      <w:r w:rsidR="001A45C7" w:rsidRPr="00E84D59">
        <w:rPr>
          <w:b/>
        </w:rPr>
        <w:t>the ISOS-P</w:t>
      </w:r>
      <w:r w:rsidRPr="00E84D59">
        <w:rPr>
          <w:b/>
        </w:rPr>
        <w:t xml:space="preserve"> to </w:t>
      </w:r>
      <w:r w:rsidR="003A15EE" w:rsidRPr="00E84D59">
        <w:rPr>
          <w:b/>
        </w:rPr>
        <w:t>i</w:t>
      </w:r>
      <w:r w:rsidRPr="00E84D59">
        <w:rPr>
          <w:b/>
        </w:rPr>
        <w:t xml:space="preserve">nclude </w:t>
      </w:r>
      <w:r w:rsidR="003A15EE" w:rsidRPr="00E84D59">
        <w:rPr>
          <w:b/>
        </w:rPr>
        <w:t>a</w:t>
      </w:r>
      <w:r w:rsidRPr="00E84D59">
        <w:rPr>
          <w:b/>
        </w:rPr>
        <w:t>ttitudes</w:t>
      </w:r>
      <w:r w:rsidR="00756FBB" w:rsidRPr="00E84D59">
        <w:rPr>
          <w:b/>
        </w:rPr>
        <w:t>.</w:t>
      </w:r>
      <w:r w:rsidRPr="00E84D59">
        <w:rPr>
          <w:b/>
          <w:i/>
        </w:rPr>
        <w:t xml:space="preserve"> </w:t>
      </w:r>
      <w:r w:rsidR="009E346F" w:rsidRPr="00E84D59">
        <w:t>To facilitate our investigation of both ISOP behaviors and ISOP attitudes, we augmented the ISOS-P instrument with a relatively small number of items describing sexual objectification attitudes</w:t>
      </w:r>
      <w:r w:rsidRPr="00E84D59">
        <w:t xml:space="preserve">. </w:t>
      </w:r>
      <w:r w:rsidR="001F2DC9" w:rsidRPr="00E84D59">
        <w:t>W</w:t>
      </w:r>
      <w:r w:rsidRPr="00E84D59">
        <w:t xml:space="preserve">e </w:t>
      </w:r>
      <w:r w:rsidR="009E346F" w:rsidRPr="00E84D59">
        <w:t xml:space="preserve">then </w:t>
      </w:r>
      <w:r w:rsidRPr="00E84D59">
        <w:t xml:space="preserve">investigated the </w:t>
      </w:r>
      <w:r w:rsidR="00144E3C" w:rsidRPr="00E84D59">
        <w:t xml:space="preserve">factor </w:t>
      </w:r>
      <w:r w:rsidR="00144E3C" w:rsidRPr="00E84D59">
        <w:lastRenderedPageBreak/>
        <w:t>structure</w:t>
      </w:r>
      <w:r w:rsidR="00C5670F" w:rsidRPr="00E84D59">
        <w:t xml:space="preserve"> of </w:t>
      </w:r>
      <w:r w:rsidR="003E289C" w:rsidRPr="00E84D59">
        <w:t>the augmented ISOS-P (hereafter referred to as the</w:t>
      </w:r>
      <w:r w:rsidR="003E289C" w:rsidRPr="00E84D59">
        <w:rPr>
          <w:i/>
        </w:rPr>
        <w:t xml:space="preserve"> Interpersonal Sexual Objectification Scale—Perpetrator Version, Revised</w:t>
      </w:r>
      <w:r w:rsidR="003E289C" w:rsidRPr="00E84D59">
        <w:t xml:space="preserve">; ISOS-PR) across both </w:t>
      </w:r>
      <w:r w:rsidR="009E346F" w:rsidRPr="00E84D59">
        <w:t>samples using</w:t>
      </w:r>
      <w:r w:rsidRPr="00E84D59">
        <w:t xml:space="preserve"> </w:t>
      </w:r>
      <w:r w:rsidR="005D689F">
        <w:t>confirmatory factor analysis (CFA)</w:t>
      </w:r>
      <w:r w:rsidR="004863E7">
        <w:rPr>
          <w:rStyle w:val="FootnoteReference"/>
        </w:rPr>
        <w:footnoteReference w:id="3"/>
      </w:r>
      <w:r w:rsidR="00144E3C" w:rsidRPr="00E84D59">
        <w:t xml:space="preserve">. </w:t>
      </w:r>
      <w:r w:rsidR="00F760B0">
        <w:t xml:space="preserve">After specifying this factor structure in the overall sample (collapsed across men and women), we also conducted formal tests of measurement invariance to clarify the extent to which the ISOS-PR assessed the same latent construct(s) across gender. </w:t>
      </w:r>
    </w:p>
    <w:p w14:paraId="6E47090E" w14:textId="551565E0" w:rsidR="00E77642" w:rsidRPr="00E84D59" w:rsidRDefault="00E77642" w:rsidP="003A15EE">
      <w:pPr>
        <w:spacing w:line="480" w:lineRule="auto"/>
        <w:ind w:firstLine="720"/>
        <w:rPr>
          <w:b/>
        </w:rPr>
      </w:pPr>
      <w:r w:rsidRPr="00E84D59">
        <w:rPr>
          <w:b/>
        </w:rPr>
        <w:t xml:space="preserve">Aim 2: </w:t>
      </w:r>
      <w:r w:rsidR="001A45C7" w:rsidRPr="00E84D59">
        <w:rPr>
          <w:b/>
        </w:rPr>
        <w:t>Investigating t</w:t>
      </w:r>
      <w:r w:rsidRPr="00E84D59">
        <w:rPr>
          <w:b/>
        </w:rPr>
        <w:t xml:space="preserve">he </w:t>
      </w:r>
      <w:r w:rsidR="003A15EE" w:rsidRPr="00E84D59">
        <w:rPr>
          <w:b/>
        </w:rPr>
        <w:t>i</w:t>
      </w:r>
      <w:r w:rsidRPr="00E84D59">
        <w:rPr>
          <w:b/>
        </w:rPr>
        <w:t xml:space="preserve">mplications of </w:t>
      </w:r>
      <w:r w:rsidR="003A15EE" w:rsidRPr="00E84D59">
        <w:rPr>
          <w:b/>
        </w:rPr>
        <w:t>p</w:t>
      </w:r>
      <w:r w:rsidRPr="00E84D59">
        <w:rPr>
          <w:b/>
        </w:rPr>
        <w:t xml:space="preserve">sychopathic </w:t>
      </w:r>
      <w:r w:rsidR="003A15EE" w:rsidRPr="00E84D59">
        <w:rPr>
          <w:b/>
        </w:rPr>
        <w:t>t</w:t>
      </w:r>
      <w:r w:rsidRPr="00E84D59">
        <w:rPr>
          <w:b/>
        </w:rPr>
        <w:t>raits for ISOP</w:t>
      </w:r>
      <w:r w:rsidR="00756FBB" w:rsidRPr="00E84D59">
        <w:rPr>
          <w:b/>
        </w:rPr>
        <w:t>.</w:t>
      </w:r>
      <w:r w:rsidRPr="00E84D59">
        <w:rPr>
          <w:b/>
        </w:rPr>
        <w:t xml:space="preserve"> </w:t>
      </w:r>
    </w:p>
    <w:p w14:paraId="51C76AB5" w14:textId="2B7CE31B" w:rsidR="00E77642" w:rsidRPr="00E84D59" w:rsidRDefault="00E77642" w:rsidP="00117F63">
      <w:pPr>
        <w:spacing w:line="480" w:lineRule="auto"/>
        <w:ind w:firstLine="720"/>
      </w:pPr>
      <w:r w:rsidRPr="00E84D59">
        <w:rPr>
          <w:b/>
          <w:i/>
        </w:rPr>
        <w:t xml:space="preserve">Aim 2a: </w:t>
      </w:r>
      <w:r w:rsidR="00086CA5">
        <w:rPr>
          <w:b/>
          <w:i/>
        </w:rPr>
        <w:t>Clarifying a</w:t>
      </w:r>
      <w:r w:rsidR="006143E6" w:rsidRPr="00E84D59">
        <w:rPr>
          <w:b/>
          <w:i/>
        </w:rPr>
        <w:t>ssociations</w:t>
      </w:r>
      <w:r w:rsidRPr="00E84D59">
        <w:rPr>
          <w:b/>
          <w:i/>
        </w:rPr>
        <w:t xml:space="preserve"> between psychopathic traits and ISOP. </w:t>
      </w:r>
      <w:r w:rsidR="00E878FB">
        <w:t>W</w:t>
      </w:r>
      <w:r w:rsidR="00144E3C" w:rsidRPr="00E84D59">
        <w:t>e</w:t>
      </w:r>
      <w:r w:rsidR="003A15EE" w:rsidRPr="00E84D59">
        <w:t xml:space="preserve"> </w:t>
      </w:r>
      <w:r w:rsidR="00144E3C" w:rsidRPr="00E84D59">
        <w:t xml:space="preserve">predicted that the triarchic </w:t>
      </w:r>
      <w:r w:rsidR="003268BB" w:rsidRPr="00E84D59">
        <w:t xml:space="preserve">psychopathy </w:t>
      </w:r>
      <w:r w:rsidR="005675B7" w:rsidRPr="00E84D59">
        <w:t>sub</w:t>
      </w:r>
      <w:r w:rsidR="00144E3C" w:rsidRPr="00E84D59">
        <w:t>dimensions</w:t>
      </w:r>
      <w:r w:rsidRPr="00E84D59">
        <w:t xml:space="preserve"> </w:t>
      </w:r>
      <w:r w:rsidR="00144E3C" w:rsidRPr="00E84D59">
        <w:t xml:space="preserve">would </w:t>
      </w:r>
      <w:r w:rsidR="00F505F3" w:rsidRPr="00E84D59">
        <w:t xml:space="preserve">be </w:t>
      </w:r>
      <w:r w:rsidRPr="00E84D59">
        <w:t xml:space="preserve">positively correlated with both ISOP attitudes </w:t>
      </w:r>
      <w:r w:rsidR="00CE12F2" w:rsidRPr="00E84D59">
        <w:t>and</w:t>
      </w:r>
      <w:r w:rsidR="00052ECA" w:rsidRPr="00E84D59">
        <w:t xml:space="preserve"> </w:t>
      </w:r>
      <w:r w:rsidR="00932FC6">
        <w:t xml:space="preserve">ISOP </w:t>
      </w:r>
      <w:r w:rsidRPr="00E84D59">
        <w:t>behaviors</w:t>
      </w:r>
      <w:r w:rsidR="00117F63" w:rsidRPr="00E84D59">
        <w:t xml:space="preserve">. </w:t>
      </w:r>
      <w:r w:rsidRPr="00E84D59">
        <w:t xml:space="preserve">We </w:t>
      </w:r>
      <w:r w:rsidR="00725E57" w:rsidRPr="00E84D59">
        <w:t xml:space="preserve">also </w:t>
      </w:r>
      <w:r w:rsidRPr="00E84D59">
        <w:t xml:space="preserve">expected that the triarchic </w:t>
      </w:r>
      <w:r w:rsidR="005675B7" w:rsidRPr="00E84D59">
        <w:t>sub</w:t>
      </w:r>
      <w:r w:rsidRPr="00E84D59">
        <w:t xml:space="preserve">dimensions’ relations with ISOP would differ in magnitude, especially when all three </w:t>
      </w:r>
      <w:r w:rsidR="00677110" w:rsidRPr="00E84D59">
        <w:t>were</w:t>
      </w:r>
      <w:r w:rsidRPr="00E84D59">
        <w:t xml:space="preserve"> entered as simultaneous predictors of ISOP</w:t>
      </w:r>
      <w:r w:rsidR="00725E57" w:rsidRPr="00E84D59">
        <w:t xml:space="preserve"> in a </w:t>
      </w:r>
      <w:r w:rsidR="00BC6D5B" w:rsidRPr="00E84D59">
        <w:t xml:space="preserve">multiple </w:t>
      </w:r>
      <w:r w:rsidR="00725E57" w:rsidRPr="00E84D59">
        <w:t>regression model</w:t>
      </w:r>
      <w:r w:rsidR="009A1F74" w:rsidRPr="00E84D59">
        <w:t xml:space="preserve">. </w:t>
      </w:r>
      <w:r w:rsidR="0026468E" w:rsidRPr="00E84D59">
        <w:t>Specifically,</w:t>
      </w:r>
      <w:r w:rsidR="007B1FEA" w:rsidRPr="00E84D59">
        <w:t xml:space="preserve"> </w:t>
      </w:r>
      <w:r w:rsidR="0021114B">
        <w:t xml:space="preserve">we predicted </w:t>
      </w:r>
      <w:r w:rsidR="007B1FEA" w:rsidRPr="00E84D59">
        <w:t>that coldheartedness and meanness would bear the strongest associations with ISOP attitudes given that they entail callousness</w:t>
      </w:r>
      <w:r w:rsidR="00471EFE" w:rsidRPr="00E84D59">
        <w:t xml:space="preserve"> and instrumentality (Walsh, Swogger, &amp; Kosson, 2009)</w:t>
      </w:r>
      <w:r w:rsidR="007B1FEA" w:rsidRPr="00E84D59">
        <w:t xml:space="preserve">, and that disinhibition would bear the strongest associations with ISOP behaviors given that it entails poor behavioral control </w:t>
      </w:r>
      <w:r w:rsidR="00642021" w:rsidRPr="00E84D59">
        <w:t>and externalizing psychopathology</w:t>
      </w:r>
      <w:r w:rsidR="00CC6C3B">
        <w:t>,</w:t>
      </w:r>
      <w:r w:rsidR="00642021" w:rsidRPr="00E84D59">
        <w:t xml:space="preserve"> broadly construed </w:t>
      </w:r>
      <w:r w:rsidR="007B1FEA" w:rsidRPr="00E84D59">
        <w:t>(</w:t>
      </w:r>
      <w:r w:rsidR="009C2288">
        <w:t>Blonigen et al., 2005</w:t>
      </w:r>
      <w:r w:rsidR="007B1FEA" w:rsidRPr="00E84D59">
        <w:t>).</w:t>
      </w:r>
      <w:r w:rsidR="0026468E" w:rsidRPr="00E84D59">
        <w:t xml:space="preserve"> </w:t>
      </w:r>
      <w:r w:rsidR="00EB0542">
        <w:t xml:space="preserve">Further, </w:t>
      </w:r>
      <w:r w:rsidR="00D568D7" w:rsidRPr="00E84D59" w:rsidDel="001C4194">
        <w:t>a</w:t>
      </w:r>
      <w:r w:rsidR="007B1FEA" w:rsidRPr="00E84D59">
        <w:t xml:space="preserve">ll three </w:t>
      </w:r>
      <w:r w:rsidR="0026468E" w:rsidRPr="00E84D59">
        <w:t>psychopath</w:t>
      </w:r>
      <w:r w:rsidR="00DC2B4B" w:rsidRPr="00E84D59">
        <w:t>y</w:t>
      </w:r>
      <w:r w:rsidR="0026468E" w:rsidRPr="00E84D59">
        <w:t xml:space="preserve"> </w:t>
      </w:r>
      <w:r w:rsidR="00DC2B4B" w:rsidRPr="00E84D59">
        <w:t>sub</w:t>
      </w:r>
      <w:r w:rsidR="0026468E" w:rsidRPr="00E84D59">
        <w:t xml:space="preserve">dimensions were anticipated to </w:t>
      </w:r>
      <w:r w:rsidR="007B1FEA" w:rsidRPr="00E84D59">
        <w:t xml:space="preserve">be positively and uniquely associated with ISOP behaviors </w:t>
      </w:r>
      <w:r w:rsidR="0026468E" w:rsidRPr="00E84D59">
        <w:t xml:space="preserve">after accounting for overlap among </w:t>
      </w:r>
      <w:r w:rsidR="006B24B4" w:rsidRPr="00E84D59">
        <w:t>sub</w:t>
      </w:r>
      <w:r w:rsidR="0026468E" w:rsidRPr="00E84D59">
        <w:t>dimensions</w:t>
      </w:r>
      <w:r w:rsidR="00083915" w:rsidRPr="00E84D59">
        <w:t xml:space="preserve">. Given that boldness tends not to bear unique positive relations with sexual harassment (Carre et al., 2018) </w:t>
      </w:r>
      <w:r w:rsidR="009C2288">
        <w:t xml:space="preserve">and rape myth acceptance (Watts, Bowes, Latzman, &amp; Lilienfeld, </w:t>
      </w:r>
      <w:r w:rsidR="00083915" w:rsidRPr="00E84D59">
        <w:t xml:space="preserve">2017), </w:t>
      </w:r>
      <w:r w:rsidR="007B1FEA" w:rsidRPr="00E84D59">
        <w:t xml:space="preserve">only disinhibition, </w:t>
      </w:r>
      <w:r w:rsidR="00A73E5D" w:rsidRPr="00E84D59">
        <w:t xml:space="preserve">self-centered impulsivity, </w:t>
      </w:r>
      <w:r w:rsidR="007B1FEA" w:rsidRPr="00E84D59">
        <w:t xml:space="preserve">coldheartedness, and meanness </w:t>
      </w:r>
      <w:r w:rsidR="000B6527" w:rsidRPr="00E84D59">
        <w:t xml:space="preserve">were anticipated to </w:t>
      </w:r>
      <w:r w:rsidR="007B1FEA" w:rsidRPr="00E84D59">
        <w:t>be associated with ISOP attitudes</w:t>
      </w:r>
      <w:r w:rsidR="009E346F" w:rsidRPr="00E84D59">
        <w:t xml:space="preserve"> after accounting for overlap</w:t>
      </w:r>
      <w:r w:rsidR="007B1FEA" w:rsidRPr="00E84D59">
        <w:t xml:space="preserve">. </w:t>
      </w:r>
    </w:p>
    <w:p w14:paraId="6EAC6E48" w14:textId="3926283F" w:rsidR="002E3D6A" w:rsidRPr="00E84D59" w:rsidRDefault="00E77642" w:rsidP="00032D77">
      <w:pPr>
        <w:spacing w:line="480" w:lineRule="auto"/>
      </w:pPr>
      <w:r w:rsidRPr="00E84D59">
        <w:lastRenderedPageBreak/>
        <w:tab/>
      </w:r>
      <w:r w:rsidRPr="00E84D59">
        <w:rPr>
          <w:b/>
          <w:i/>
        </w:rPr>
        <w:t>Aim 2b: Psychopathic traits as moderators of the attitude-behavior link</w:t>
      </w:r>
      <w:r w:rsidR="00045D02" w:rsidRPr="00E84D59">
        <w:rPr>
          <w:i/>
        </w:rPr>
        <w:t xml:space="preserve">. </w:t>
      </w:r>
      <w:r w:rsidR="00A94DBB" w:rsidRPr="00E84D59">
        <w:t>W</w:t>
      </w:r>
      <w:r w:rsidRPr="00E84D59">
        <w:t xml:space="preserve">e predicted that ISOP attitudes would be </w:t>
      </w:r>
      <w:r w:rsidR="00A94DBB" w:rsidRPr="00E84D59">
        <w:t xml:space="preserve">moderately </w:t>
      </w:r>
      <w:r w:rsidRPr="00E84D59">
        <w:t>positively correlated with ISOP behaviors</w:t>
      </w:r>
      <w:r w:rsidR="000268AF" w:rsidRPr="00E84D59">
        <w:t>, but</w:t>
      </w:r>
      <w:r w:rsidRPr="00E84D59">
        <w:t xml:space="preserve"> that</w:t>
      </w:r>
      <w:r w:rsidR="00A94DBB" w:rsidRPr="00E84D59">
        <w:t xml:space="preserve"> </w:t>
      </w:r>
      <w:r w:rsidR="007E444B" w:rsidRPr="00E84D59">
        <w:t xml:space="preserve">all three </w:t>
      </w:r>
      <w:r w:rsidR="00A94DBB" w:rsidRPr="00E84D59">
        <w:t xml:space="preserve">triarchic </w:t>
      </w:r>
      <w:r w:rsidR="001054D3" w:rsidRPr="00E84D59">
        <w:t>sub</w:t>
      </w:r>
      <w:r w:rsidR="00A94DBB" w:rsidRPr="00E84D59">
        <w:t xml:space="preserve">dimensions </w:t>
      </w:r>
      <w:r w:rsidR="002E3D6A" w:rsidRPr="00E84D59">
        <w:t xml:space="preserve">would </w:t>
      </w:r>
      <w:r w:rsidR="009E346F" w:rsidRPr="00E84D59">
        <w:t xml:space="preserve">potentiate the strength of </w:t>
      </w:r>
      <w:r w:rsidR="002E3D6A" w:rsidRPr="00E84D59">
        <w:t>th</w:t>
      </w:r>
      <w:r w:rsidR="00A94DBB" w:rsidRPr="00E84D59">
        <w:t>is relation</w:t>
      </w:r>
      <w:r w:rsidR="000C7EAE" w:rsidRPr="00E84D59">
        <w:t>,</w:t>
      </w:r>
      <w:r w:rsidR="002E3D6A" w:rsidRPr="00E84D59">
        <w:t xml:space="preserve"> such that individuals with elevated levels of </w:t>
      </w:r>
      <w:r w:rsidR="00A94DBB" w:rsidRPr="00E84D59">
        <w:t xml:space="preserve">psychopathic </w:t>
      </w:r>
      <w:r w:rsidR="002E3D6A" w:rsidRPr="00E84D59">
        <w:t>traits</w:t>
      </w:r>
      <w:r w:rsidR="00A94DBB" w:rsidRPr="00E84D59">
        <w:t xml:space="preserve"> </w:t>
      </w:r>
      <w:r w:rsidR="002E3D6A" w:rsidRPr="00E84D59">
        <w:t xml:space="preserve">would be </w:t>
      </w:r>
      <w:r w:rsidR="00A94DBB" w:rsidRPr="00E84D59">
        <w:t>more likely to act on their</w:t>
      </w:r>
      <w:r w:rsidR="0055356C">
        <w:t xml:space="preserve"> ISOP</w:t>
      </w:r>
      <w:r w:rsidR="00A94DBB" w:rsidRPr="00E84D59">
        <w:t xml:space="preserve"> attitudes</w:t>
      </w:r>
      <w:r w:rsidR="00B3317B" w:rsidRPr="00E84D59">
        <w:t xml:space="preserve"> (e.g., Williams et al., 2007)</w:t>
      </w:r>
      <w:r w:rsidR="00A94DBB" w:rsidRPr="00E84D59">
        <w:t>.</w:t>
      </w:r>
      <w:r w:rsidR="002E3D6A" w:rsidRPr="00E84D59">
        <w:t xml:space="preserve"> </w:t>
      </w:r>
    </w:p>
    <w:p w14:paraId="1402E7CF" w14:textId="2B44F396" w:rsidR="00106FA4" w:rsidRPr="00106FA4" w:rsidRDefault="00106FA4" w:rsidP="00B7045F">
      <w:pPr>
        <w:spacing w:line="480" w:lineRule="auto"/>
        <w:ind w:firstLine="720"/>
        <w:rPr>
          <w:iCs/>
        </w:rPr>
      </w:pPr>
      <w:r w:rsidRPr="00106FA4">
        <w:rPr>
          <w:b/>
          <w:iCs/>
        </w:rPr>
        <w:t xml:space="preserve">Aim 3: Gender as a moderator of the psychopathy-ISOP link. </w:t>
      </w:r>
      <w:r w:rsidRPr="00106FA4">
        <w:rPr>
          <w:iCs/>
        </w:rPr>
        <w:t xml:space="preserve">Despite the decidedly mixed support for gender moderation in the psychopathy literature (e.g., Verona &amp; Vitale, 2018), we provisionally predicted that psychopathic traits </w:t>
      </w:r>
      <w:r w:rsidR="005C3613">
        <w:rPr>
          <w:iCs/>
        </w:rPr>
        <w:t xml:space="preserve">reflecting </w:t>
      </w:r>
      <w:r w:rsidRPr="00106FA4">
        <w:rPr>
          <w:iCs/>
        </w:rPr>
        <w:t xml:space="preserve">disinhibition and meanness would </w:t>
      </w:r>
      <w:r w:rsidR="00CC6C3B">
        <w:rPr>
          <w:iCs/>
        </w:rPr>
        <w:t xml:space="preserve">be </w:t>
      </w:r>
      <w:r w:rsidR="005C3613">
        <w:rPr>
          <w:iCs/>
        </w:rPr>
        <w:t>especially associated with</w:t>
      </w:r>
      <w:r w:rsidRPr="00106FA4">
        <w:rPr>
          <w:iCs/>
        </w:rPr>
        <w:t xml:space="preserve"> ISOP in women </w:t>
      </w:r>
      <w:r w:rsidR="005C3613">
        <w:rPr>
          <w:iCs/>
        </w:rPr>
        <w:t>compared with</w:t>
      </w:r>
      <w:r w:rsidRPr="00106FA4">
        <w:rPr>
          <w:iCs/>
        </w:rPr>
        <w:t xml:space="preserve"> men (cf. Hoffman &amp; Verona, 2019). We reasoned that, as men are more prone to sexually objectify women than vice-versa, the </w:t>
      </w:r>
      <w:r w:rsidR="009C2288">
        <w:rPr>
          <w:iCs/>
        </w:rPr>
        <w:t xml:space="preserve">relatively </w:t>
      </w:r>
      <w:r w:rsidRPr="00106FA4">
        <w:rPr>
          <w:iCs/>
        </w:rPr>
        <w:t xml:space="preserve">few women who do so </w:t>
      </w:r>
      <w:r w:rsidR="009C2288">
        <w:rPr>
          <w:iCs/>
        </w:rPr>
        <w:t>presumably</w:t>
      </w:r>
      <w:r w:rsidRPr="00106FA4">
        <w:rPr>
          <w:iCs/>
        </w:rPr>
        <w:t xml:space="preserve"> possess an especially strong diathesis toward psychopathic traits tied to objectification</w:t>
      </w:r>
      <w:r w:rsidR="009C2288">
        <w:rPr>
          <w:iCs/>
        </w:rPr>
        <w:t xml:space="preserve"> (e.g., because societal pressures against ISOP are stronger for women</w:t>
      </w:r>
      <w:r w:rsidR="00B9793C">
        <w:rPr>
          <w:iCs/>
        </w:rPr>
        <w:t>; Watts et al., 2017</w:t>
      </w:r>
      <w:r w:rsidR="009C2288">
        <w:rPr>
          <w:iCs/>
        </w:rPr>
        <w:t xml:space="preserve">). </w:t>
      </w:r>
    </w:p>
    <w:p w14:paraId="51D36218" w14:textId="7B4F21E0" w:rsidR="00B7045F" w:rsidRPr="00E84D59" w:rsidRDefault="00E77642" w:rsidP="00B7045F">
      <w:pPr>
        <w:spacing w:line="480" w:lineRule="auto"/>
        <w:ind w:firstLine="720"/>
      </w:pPr>
      <w:r w:rsidRPr="00E84D59">
        <w:rPr>
          <w:b/>
        </w:rPr>
        <w:t xml:space="preserve">Aim </w:t>
      </w:r>
      <w:r w:rsidR="00050ECE">
        <w:rPr>
          <w:b/>
        </w:rPr>
        <w:t>4</w:t>
      </w:r>
      <w:r w:rsidRPr="00E84D59">
        <w:rPr>
          <w:b/>
        </w:rPr>
        <w:t xml:space="preserve">: Investigating the </w:t>
      </w:r>
      <w:r w:rsidR="00FC657C" w:rsidRPr="00E84D59">
        <w:rPr>
          <w:b/>
        </w:rPr>
        <w:t>b</w:t>
      </w:r>
      <w:r w:rsidRPr="00E84D59">
        <w:rPr>
          <w:b/>
        </w:rPr>
        <w:t xml:space="preserve">roader </w:t>
      </w:r>
      <w:r w:rsidR="00FC657C" w:rsidRPr="00E84D59">
        <w:rPr>
          <w:b/>
        </w:rPr>
        <w:t>c</w:t>
      </w:r>
      <w:r w:rsidRPr="00E84D59">
        <w:rPr>
          <w:b/>
        </w:rPr>
        <w:t>orrelates of ISOP</w:t>
      </w:r>
      <w:r w:rsidR="00756FBB" w:rsidRPr="00E84D59">
        <w:t>.</w:t>
      </w:r>
      <w:r w:rsidR="00FC657C" w:rsidRPr="00E84D59">
        <w:t xml:space="preserve"> </w:t>
      </w:r>
      <w:r w:rsidR="003415BE" w:rsidRPr="00E84D59">
        <w:t xml:space="preserve">In line with our </w:t>
      </w:r>
      <w:r w:rsidR="007409E5">
        <w:t>hypothesis</w:t>
      </w:r>
      <w:r w:rsidR="007409E5" w:rsidRPr="00E84D59">
        <w:t xml:space="preserve"> </w:t>
      </w:r>
      <w:r w:rsidR="004B4AF0" w:rsidRPr="00E84D59">
        <w:t>that</w:t>
      </w:r>
      <w:r w:rsidR="003415BE" w:rsidRPr="00E84D59">
        <w:t xml:space="preserve"> </w:t>
      </w:r>
      <w:r w:rsidR="00936CD4" w:rsidRPr="00E84D59">
        <w:t xml:space="preserve">potential observed relations between psychopathic traits and ISOP </w:t>
      </w:r>
      <w:r w:rsidR="004B4AF0" w:rsidRPr="00E84D59">
        <w:t xml:space="preserve">will </w:t>
      </w:r>
      <w:r w:rsidR="00936CD4" w:rsidRPr="00E84D59">
        <w:t>extend to conceptually</w:t>
      </w:r>
      <w:r w:rsidR="00B7045F">
        <w:t xml:space="preserve"> </w:t>
      </w:r>
      <w:r w:rsidR="00936CD4" w:rsidRPr="00E84D59">
        <w:t>relevant constructs, w</w:t>
      </w:r>
      <w:r w:rsidR="007B1FEA" w:rsidRPr="00E84D59">
        <w:t>e predicted that lower levels of affective empathy, neuroticism, agreeableness, and conscientiousness</w:t>
      </w:r>
      <w:r w:rsidR="00E1149A" w:rsidRPr="00E84D59">
        <w:t>,</w:t>
      </w:r>
      <w:r w:rsidR="007B1FEA" w:rsidRPr="00E84D59">
        <w:t xml:space="preserve"> as well as higher levels of sadism, impulsivity, narcissism, disinhibition, and antagonism, would be associated with ISOP.    </w:t>
      </w:r>
    </w:p>
    <w:p w14:paraId="7441D0B8" w14:textId="054A5030" w:rsidR="00E77642" w:rsidRPr="00E84D59" w:rsidRDefault="00E77642" w:rsidP="00272253">
      <w:pPr>
        <w:spacing w:line="480" w:lineRule="auto"/>
        <w:jc w:val="center"/>
        <w:rPr>
          <w:b/>
        </w:rPr>
      </w:pPr>
      <w:r w:rsidRPr="00E84D59">
        <w:rPr>
          <w:b/>
        </w:rPr>
        <w:t>Study 1</w:t>
      </w:r>
    </w:p>
    <w:p w14:paraId="1BF12A18" w14:textId="77777777" w:rsidR="00E77642" w:rsidRPr="00E84D59" w:rsidRDefault="00E77642" w:rsidP="00272253">
      <w:pPr>
        <w:spacing w:line="480" w:lineRule="auto"/>
        <w:rPr>
          <w:b/>
        </w:rPr>
      </w:pPr>
      <w:r w:rsidRPr="00E84D59">
        <w:rPr>
          <w:b/>
        </w:rPr>
        <w:t>Method</w:t>
      </w:r>
    </w:p>
    <w:p w14:paraId="0DE888F4" w14:textId="61A4A5B9" w:rsidR="00E77642" w:rsidRPr="00E84D59" w:rsidRDefault="00E77642" w:rsidP="00252D42">
      <w:pPr>
        <w:spacing w:line="480" w:lineRule="auto"/>
        <w:ind w:firstLine="720"/>
        <w:rPr>
          <w:rFonts w:eastAsia="Calibri"/>
        </w:rPr>
      </w:pPr>
      <w:r w:rsidRPr="00E84D59">
        <w:rPr>
          <w:b/>
        </w:rPr>
        <w:t xml:space="preserve">Participants. </w:t>
      </w:r>
      <w:r w:rsidRPr="00E84D59">
        <w:t xml:space="preserve">Participants (N = 401) were </w:t>
      </w:r>
      <w:r w:rsidR="00092803" w:rsidRPr="00E84D59">
        <w:t xml:space="preserve">United States community members </w:t>
      </w:r>
      <w:r w:rsidR="00517954" w:rsidRPr="00E84D59">
        <w:t>drawn from</w:t>
      </w:r>
      <w:r w:rsidRPr="00E84D59">
        <w:rPr>
          <w:b/>
        </w:rPr>
        <w:t xml:space="preserve"> </w:t>
      </w:r>
      <w:r w:rsidR="00517954" w:rsidRPr="00E84D59">
        <w:t xml:space="preserve">Amazon’s </w:t>
      </w:r>
      <w:r w:rsidRPr="00E84D59">
        <w:t xml:space="preserve">Mechanical Turk (MTurk), </w:t>
      </w:r>
      <w:r w:rsidR="00517954" w:rsidRPr="00E84D59">
        <w:t>an online crowdsourcing platform that</w:t>
      </w:r>
      <w:r w:rsidRPr="00E84D59">
        <w:t xml:space="preserve"> </w:t>
      </w:r>
      <w:r w:rsidR="00517954" w:rsidRPr="00E84D59">
        <w:t xml:space="preserve">typically </w:t>
      </w:r>
      <w:r w:rsidRPr="00E84D59">
        <w:rPr>
          <w:rFonts w:eastAsia="Calibri"/>
        </w:rPr>
        <w:t>yield</w:t>
      </w:r>
      <w:r w:rsidR="00517954" w:rsidRPr="00E84D59">
        <w:rPr>
          <w:rFonts w:eastAsia="Calibri"/>
        </w:rPr>
        <w:t>s</w:t>
      </w:r>
      <w:r w:rsidRPr="00E84D59">
        <w:rPr>
          <w:rFonts w:eastAsia="Calibri"/>
        </w:rPr>
        <w:t xml:space="preserve"> psychometrically sound data (see Miller et al</w:t>
      </w:r>
      <w:r w:rsidR="00CC6C3B">
        <w:rPr>
          <w:rFonts w:eastAsia="Calibri"/>
        </w:rPr>
        <w:t>.</w:t>
      </w:r>
      <w:r w:rsidRPr="00E84D59">
        <w:rPr>
          <w:rFonts w:eastAsia="Calibri"/>
        </w:rPr>
        <w:t xml:space="preserve">, 2017). </w:t>
      </w:r>
      <w:r w:rsidR="000614B7" w:rsidRPr="00E84D59">
        <w:t>Participants</w:t>
      </w:r>
      <w:r w:rsidR="00992B85" w:rsidRPr="00E84D59">
        <w:t xml:space="preserve"> </w:t>
      </w:r>
      <w:r w:rsidR="000C7EAE" w:rsidRPr="00E84D59">
        <w:t xml:space="preserve">were predominantly </w:t>
      </w:r>
      <w:r w:rsidRPr="00E84D59">
        <w:lastRenderedPageBreak/>
        <w:t>female</w:t>
      </w:r>
      <w:r w:rsidR="00517954" w:rsidRPr="00E84D59">
        <w:t xml:space="preserve"> (53.0%)</w:t>
      </w:r>
      <w:r w:rsidR="000C7EAE" w:rsidRPr="00E84D59">
        <w:t xml:space="preserve">, </w:t>
      </w:r>
      <w:r w:rsidRPr="00E84D59">
        <w:t>had a mean age of 35.5 years (SD</w:t>
      </w:r>
      <w:r w:rsidR="00092803" w:rsidRPr="00E84D59">
        <w:rPr>
          <w:vertAlign w:val="subscript"/>
        </w:rPr>
        <w:t>age</w:t>
      </w:r>
      <w:r w:rsidRPr="00E84D59">
        <w:t>=11.0</w:t>
      </w:r>
      <w:r w:rsidR="00092803" w:rsidRPr="00E84D59">
        <w:t xml:space="preserve"> years</w:t>
      </w:r>
      <w:r w:rsidRPr="00E84D59">
        <w:t xml:space="preserve">), and were </w:t>
      </w:r>
      <w:r w:rsidR="00517954" w:rsidRPr="00E84D59">
        <w:t xml:space="preserve">most frequently </w:t>
      </w:r>
      <w:r w:rsidRPr="00E84D59">
        <w:t>Caucasian (</w:t>
      </w:r>
      <w:r w:rsidRPr="00E84D59">
        <w:rPr>
          <w:rFonts w:eastAsia="Calibri"/>
        </w:rPr>
        <w:t xml:space="preserve">71.8%), </w:t>
      </w:r>
      <w:r w:rsidR="00517954" w:rsidRPr="00E84D59">
        <w:rPr>
          <w:rFonts w:eastAsia="Calibri"/>
        </w:rPr>
        <w:t xml:space="preserve">Asian American (11.0%), </w:t>
      </w:r>
      <w:r w:rsidRPr="00E84D59">
        <w:rPr>
          <w:rFonts w:eastAsia="Calibri"/>
        </w:rPr>
        <w:t xml:space="preserve">African American (7.2%), </w:t>
      </w:r>
      <w:r w:rsidR="00517954" w:rsidRPr="00E84D59">
        <w:rPr>
          <w:rFonts w:eastAsia="Calibri"/>
        </w:rPr>
        <w:t xml:space="preserve">and </w:t>
      </w:r>
      <w:r w:rsidRPr="00E84D59">
        <w:rPr>
          <w:rFonts w:eastAsia="Calibri"/>
        </w:rPr>
        <w:t>Hispanic or Latin</w:t>
      </w:r>
      <w:r w:rsidR="00517954" w:rsidRPr="00E84D59">
        <w:rPr>
          <w:rFonts w:eastAsia="Calibri"/>
        </w:rPr>
        <w:t xml:space="preserve">x </w:t>
      </w:r>
      <w:r w:rsidRPr="00E84D59">
        <w:rPr>
          <w:rFonts w:eastAsia="Calibri"/>
        </w:rPr>
        <w:t xml:space="preserve">(6.0%). </w:t>
      </w:r>
      <w:r w:rsidR="00EA2B1D" w:rsidRPr="00E84D59">
        <w:rPr>
          <w:rFonts w:eastAsia="Calibri"/>
        </w:rPr>
        <w:t xml:space="preserve">The prevalence of missing data </w:t>
      </w:r>
      <w:r w:rsidR="00252D42" w:rsidRPr="00E84D59">
        <w:rPr>
          <w:rFonts w:eastAsia="Calibri"/>
        </w:rPr>
        <w:t>was</w:t>
      </w:r>
      <w:r w:rsidR="00EA2B1D" w:rsidRPr="00E84D59">
        <w:rPr>
          <w:rFonts w:eastAsia="Calibri"/>
        </w:rPr>
        <w:t xml:space="preserve"> less than 2% for each item. Little’s (1988) MCAR test was not statistically significant, </w:t>
      </w:r>
      <w:r w:rsidR="00092803" w:rsidRPr="00E84D59">
        <w:rPr>
          <w:rFonts w:eastAsia="Calibri"/>
        </w:rPr>
        <w:t>justifying</w:t>
      </w:r>
      <w:r w:rsidR="00EA2B1D" w:rsidRPr="00E84D59">
        <w:rPr>
          <w:rFonts w:eastAsia="Calibri"/>
        </w:rPr>
        <w:t xml:space="preserve"> our performing single imputation using the expectation-maximization algorithm to impute missing data for composite scores </w:t>
      </w:r>
      <w:r w:rsidR="009E346F" w:rsidRPr="00E84D59">
        <w:rPr>
          <w:rFonts w:eastAsia="Calibri"/>
        </w:rPr>
        <w:t>(Enders, 2001)</w:t>
      </w:r>
      <w:r w:rsidR="00252D42" w:rsidRPr="00E84D59">
        <w:rPr>
          <w:rFonts w:eastAsia="Calibri"/>
        </w:rPr>
        <w:t>.</w:t>
      </w:r>
      <w:r w:rsidR="00B1288E" w:rsidRPr="00B1288E">
        <w:t xml:space="preserve"> </w:t>
      </w:r>
      <w:r w:rsidR="00B1288E">
        <w:t xml:space="preserve">All study methods and materials were approved by the university office of research ethics. </w:t>
      </w:r>
    </w:p>
    <w:p w14:paraId="5C7427C9" w14:textId="29663CBA" w:rsidR="002E3D6A" w:rsidRPr="00055E84" w:rsidRDefault="002E3D6A" w:rsidP="009C2288">
      <w:pPr>
        <w:spacing w:line="480" w:lineRule="auto"/>
        <w:ind w:firstLine="720"/>
        <w:rPr>
          <w:rFonts w:eastAsia="Calibri"/>
        </w:rPr>
      </w:pPr>
      <w:r w:rsidRPr="00055E84">
        <w:rPr>
          <w:b/>
        </w:rPr>
        <w:t>Measures.</w:t>
      </w:r>
      <w:r w:rsidRPr="00055E84">
        <w:t xml:space="preserve"> </w:t>
      </w:r>
      <w:r w:rsidR="002B5D26" w:rsidRPr="00055E84">
        <w:rPr>
          <w:rFonts w:eastAsia="Calibri"/>
        </w:rPr>
        <w:t>W</w:t>
      </w:r>
      <w:r w:rsidRPr="00055E84">
        <w:rPr>
          <w:rFonts w:eastAsia="Calibri"/>
        </w:rPr>
        <w:t xml:space="preserve">e augmented the ISOS-P with </w:t>
      </w:r>
      <w:r w:rsidR="00F02522" w:rsidRPr="00055E84">
        <w:rPr>
          <w:rFonts w:eastAsia="Calibri"/>
        </w:rPr>
        <w:t>7</w:t>
      </w:r>
      <w:r w:rsidR="002B3BEE" w:rsidRPr="00055E84">
        <w:rPr>
          <w:rStyle w:val="FootnoteReference"/>
          <w:rFonts w:eastAsia="Calibri"/>
        </w:rPr>
        <w:footnoteReference w:id="4"/>
      </w:r>
      <w:r w:rsidR="00DA112C" w:rsidRPr="00055E84">
        <w:rPr>
          <w:rFonts w:eastAsia="Calibri"/>
        </w:rPr>
        <w:t xml:space="preserve"> </w:t>
      </w:r>
      <w:r w:rsidRPr="00055E84">
        <w:rPr>
          <w:rFonts w:eastAsia="Calibri"/>
        </w:rPr>
        <w:t>attitudinal items</w:t>
      </w:r>
      <w:r w:rsidR="007B6448" w:rsidRPr="00055E84">
        <w:rPr>
          <w:rFonts w:eastAsia="Calibri"/>
        </w:rPr>
        <w:t>, resulting in a total of 2</w:t>
      </w:r>
      <w:r w:rsidR="00DA112C" w:rsidRPr="00055E84">
        <w:rPr>
          <w:rFonts w:eastAsia="Calibri"/>
        </w:rPr>
        <w:t>1</w:t>
      </w:r>
      <w:r w:rsidR="007B6448" w:rsidRPr="00055E84">
        <w:rPr>
          <w:rFonts w:eastAsia="Calibri"/>
        </w:rPr>
        <w:t xml:space="preserve"> items</w:t>
      </w:r>
      <w:r w:rsidR="009C2288">
        <w:rPr>
          <w:rFonts w:eastAsia="Calibri"/>
        </w:rPr>
        <w:t xml:space="preserve"> (see Table 1)</w:t>
      </w:r>
      <w:r w:rsidR="00117B6F" w:rsidRPr="00055E84" w:rsidDel="002B3BEE">
        <w:rPr>
          <w:rFonts w:eastAsia="Calibri"/>
        </w:rPr>
        <w:t>.</w:t>
      </w:r>
      <w:r w:rsidRPr="00055E84">
        <w:rPr>
          <w:rFonts w:eastAsia="Calibri"/>
        </w:rPr>
        <w:t xml:space="preserve"> </w:t>
      </w:r>
      <w:r w:rsidR="006D393F" w:rsidRPr="00055E84">
        <w:rPr>
          <w:rFonts w:eastAsia="Calibri"/>
        </w:rPr>
        <w:t xml:space="preserve">Following procedures from Gervais, DiLillo, and McChargue (2014), </w:t>
      </w:r>
      <w:r w:rsidR="009C2288">
        <w:rPr>
          <w:rFonts w:eastAsia="Calibri"/>
        </w:rPr>
        <w:t xml:space="preserve">behavioral items (ISOS-PR items 1-14) </w:t>
      </w:r>
      <w:r w:rsidR="009C2288" w:rsidRPr="00055E84">
        <w:rPr>
          <w:rFonts w:eastAsia="Calibri"/>
        </w:rPr>
        <w:t xml:space="preserve">were constructed by </w:t>
      </w:r>
      <w:r w:rsidR="009C2288">
        <w:t>adapting</w:t>
      </w:r>
      <w:r w:rsidR="009C2288" w:rsidRPr="00055E84">
        <w:t xml:space="preserve"> the Interpersonal Sexual Objectification Scale (ISOS; Kozee et al., 2007) to be gender-neutral and to target perpetration rather than vi</w:t>
      </w:r>
      <w:r w:rsidR="009C2288">
        <w:t>ctimization</w:t>
      </w:r>
      <w:r w:rsidR="004205B9">
        <w:t xml:space="preserve"> (within the past year)</w:t>
      </w:r>
      <w:r w:rsidR="009C2288">
        <w:t>; the wording of several behaviors items differs slightly across the ISOS-P and ISOS-PR (see Table S14 for a comparison of the two versions)</w:t>
      </w:r>
      <w:r w:rsidR="009C2288" w:rsidRPr="009C2288">
        <w:rPr>
          <w:sz w:val="28"/>
        </w:rPr>
        <w:t xml:space="preserve">. </w:t>
      </w:r>
      <w:r w:rsidR="00055E84">
        <w:t>Attitudinal items were constructed following a</w:t>
      </w:r>
      <w:r w:rsidRPr="00E84D59">
        <w:t xml:space="preserve"> review of the empirical and theoretical literatures on </w:t>
      </w:r>
      <w:r w:rsidR="00711F40" w:rsidRPr="00E84D59">
        <w:t xml:space="preserve">ISOP, </w:t>
      </w:r>
      <w:r w:rsidRPr="00E84D59">
        <w:t>objectification</w:t>
      </w:r>
      <w:r w:rsidR="00AE214D" w:rsidRPr="00E84D59">
        <w:t>, other-objectification, instrumentality, and</w:t>
      </w:r>
      <w:r w:rsidR="00711F40" w:rsidRPr="00E84D59">
        <w:t xml:space="preserve"> coldheartedness</w:t>
      </w:r>
      <w:r w:rsidRPr="00E84D59">
        <w:t xml:space="preserve">. For purposes of adequate convergent and discriminant validity, we followed Loevinger’s (1957) recommendation </w:t>
      </w:r>
      <w:r w:rsidR="0021461A" w:rsidRPr="00E84D59">
        <w:t xml:space="preserve">of </w:t>
      </w:r>
      <w:r w:rsidRPr="00E84D59">
        <w:t>an overinclusive item pool drawn from broad areas of content</w:t>
      </w:r>
      <w:r w:rsidR="00DA112C">
        <w:t>.</w:t>
      </w:r>
      <w:r w:rsidR="00DA112C" w:rsidRPr="00DA112C">
        <w:t xml:space="preserve"> </w:t>
      </w:r>
    </w:p>
    <w:p w14:paraId="7600FCE6" w14:textId="67463EDD" w:rsidR="0021461A" w:rsidRPr="00E84D59" w:rsidRDefault="002E3D6A" w:rsidP="002E3D6A">
      <w:pPr>
        <w:spacing w:line="480" w:lineRule="auto"/>
        <w:ind w:firstLine="720"/>
      </w:pPr>
      <w:r w:rsidRPr="00E84D59">
        <w:rPr>
          <w:b/>
          <w:i/>
        </w:rPr>
        <w:t>Psychopathy</w:t>
      </w:r>
      <w:r w:rsidRPr="00E84D59">
        <w:rPr>
          <w:i/>
        </w:rPr>
        <w:t>.</w:t>
      </w:r>
      <w:r w:rsidRPr="00E84D59">
        <w:t xml:space="preserve"> Participants completed </w:t>
      </w:r>
      <w:r w:rsidRPr="00E84D59">
        <w:rPr>
          <w:bCs/>
        </w:rPr>
        <w:t xml:space="preserve">two widely-used psychopathy measures, </w:t>
      </w:r>
      <w:r w:rsidRPr="00E84D59">
        <w:t xml:space="preserve">the </w:t>
      </w:r>
      <w:r w:rsidRPr="00E84D59">
        <w:rPr>
          <w:i/>
          <w:iCs/>
        </w:rPr>
        <w:t>Psychopathic Personality Inventory</w:t>
      </w:r>
      <w:r w:rsidR="0021461A" w:rsidRPr="00E84D59">
        <w:rPr>
          <w:i/>
          <w:iCs/>
        </w:rPr>
        <w:t>-</w:t>
      </w:r>
      <w:r w:rsidRPr="00E84D59">
        <w:rPr>
          <w:i/>
          <w:iCs/>
        </w:rPr>
        <w:t>Revised</w:t>
      </w:r>
      <w:r w:rsidRPr="00E84D59">
        <w:t xml:space="preserve"> and the </w:t>
      </w:r>
      <w:r w:rsidRPr="00E84D59">
        <w:rPr>
          <w:i/>
          <w:iCs/>
        </w:rPr>
        <w:t>Triarchic Psychopathy Measure</w:t>
      </w:r>
      <w:r w:rsidRPr="00E84D59">
        <w:t xml:space="preserve"> (TriPM; Patrick, 20</w:t>
      </w:r>
      <w:r w:rsidR="000C71E7" w:rsidRPr="00E84D59">
        <w:t>09</w:t>
      </w:r>
      <w:r w:rsidRPr="00E84D59">
        <w:t xml:space="preserve">). The </w:t>
      </w:r>
      <w:r w:rsidR="0021461A" w:rsidRPr="00E84D59">
        <w:t>former is</w:t>
      </w:r>
      <w:r w:rsidRPr="00E84D59">
        <w:t xml:space="preserve"> 154-item self-report </w:t>
      </w:r>
      <w:r w:rsidR="00590D7A" w:rsidRPr="00E84D59">
        <w:t xml:space="preserve">measure </w:t>
      </w:r>
      <w:r w:rsidRPr="00E84D59">
        <w:t xml:space="preserve">yielding </w:t>
      </w:r>
      <w:r w:rsidR="008F1FFF" w:rsidRPr="00E84D59">
        <w:t xml:space="preserve">three </w:t>
      </w:r>
      <w:r w:rsidRPr="00E84D59">
        <w:t>higher-order factors</w:t>
      </w:r>
      <w:r w:rsidR="00886CCC" w:rsidRPr="00E84D59">
        <w:t xml:space="preserve"> (subdimension αs ranged from .86 to .96)</w:t>
      </w:r>
      <w:r w:rsidRPr="00E84D59">
        <w:t>, PPI-R Fearless Dominance (PPI-R FD)</w:t>
      </w:r>
      <w:r w:rsidR="008F1FFF" w:rsidRPr="00E84D59">
        <w:t xml:space="preserve">, </w:t>
      </w:r>
      <w:r w:rsidRPr="00E84D59">
        <w:t>PPI-R Self-</w:t>
      </w:r>
      <w:r w:rsidRPr="00E84D59">
        <w:lastRenderedPageBreak/>
        <w:t>centered Impulsivity (PPI-R SCI)</w:t>
      </w:r>
      <w:r w:rsidR="008F1FFF" w:rsidRPr="00E84D59">
        <w:t>, and PPI-R Coldheartedness (PPI-R C</w:t>
      </w:r>
      <w:r w:rsidR="0021461A" w:rsidRPr="00E84D59">
        <w:t xml:space="preserve">). </w:t>
      </w:r>
      <w:r w:rsidRPr="00E84D59">
        <w:t xml:space="preserve">The </w:t>
      </w:r>
      <w:r w:rsidR="0021461A" w:rsidRPr="00E84D59">
        <w:t xml:space="preserve">latter </w:t>
      </w:r>
      <w:r w:rsidRPr="00E84D59">
        <w:t xml:space="preserve">is a 58-item self-report measure of psychopathic traits yielding scores on three dimensions, Boldness, Disinhibition, and Meanness (αs ranged from 0.87 to 0.94). </w:t>
      </w:r>
    </w:p>
    <w:p w14:paraId="71AF5E5E" w14:textId="05E1B469" w:rsidR="0057128C" w:rsidRPr="00E84D59" w:rsidRDefault="002E3D6A" w:rsidP="00174913">
      <w:pPr>
        <w:spacing w:line="480" w:lineRule="auto"/>
        <w:ind w:firstLine="720"/>
      </w:pPr>
      <w:r w:rsidRPr="00E84D59">
        <w:rPr>
          <w:b/>
          <w:bCs/>
          <w:i/>
        </w:rPr>
        <w:t>Other personality traits</w:t>
      </w:r>
      <w:r w:rsidRPr="00E84D59">
        <w:rPr>
          <w:bCs/>
          <w:i/>
        </w:rPr>
        <w:t xml:space="preserve">. </w:t>
      </w:r>
      <w:r w:rsidRPr="00E84D59">
        <w:rPr>
          <w:bCs/>
        </w:rPr>
        <w:t xml:space="preserve">Participants completed several widely-used measures of personality traits associated with various personality disorders, including the </w:t>
      </w:r>
      <w:r w:rsidRPr="00E84D59">
        <w:rPr>
          <w:i/>
        </w:rPr>
        <w:t>UPPS-P Impulsive Behavior Scale</w:t>
      </w:r>
      <w:r w:rsidRPr="00E84D59">
        <w:t xml:space="preserve"> (UPPS-P; Lynam, Smith, Whiteside, &amp; Cyders, 2006), the </w:t>
      </w:r>
      <w:r w:rsidRPr="00E84D59">
        <w:rPr>
          <w:i/>
        </w:rPr>
        <w:t xml:space="preserve">Varieties of Sadistic Tendencies </w:t>
      </w:r>
      <w:r w:rsidRPr="00E84D59">
        <w:t>(VAST</w:t>
      </w:r>
      <w:r w:rsidR="0021461A" w:rsidRPr="00E84D59">
        <w:t>) scale</w:t>
      </w:r>
      <w:r w:rsidRPr="00E84D59">
        <w:t xml:space="preserve"> </w:t>
      </w:r>
      <w:r w:rsidR="0021461A" w:rsidRPr="00E84D59">
        <w:t>(</w:t>
      </w:r>
      <w:r w:rsidRPr="00E84D59">
        <w:t>Paulhus &amp; Jones, 201</w:t>
      </w:r>
      <w:r w:rsidR="00D272A1" w:rsidRPr="00E84D59">
        <w:t>5</w:t>
      </w:r>
      <w:r w:rsidRPr="00E84D59">
        <w:t xml:space="preserve">), the </w:t>
      </w:r>
      <w:r w:rsidRPr="00E84D59">
        <w:rPr>
          <w:i/>
        </w:rPr>
        <w:t>Affective and Cognitive Measure of Empathy</w:t>
      </w:r>
      <w:r w:rsidRPr="00E84D59">
        <w:t xml:space="preserve"> (ACME; Vachon &amp; Lynam, 2016), the </w:t>
      </w:r>
      <w:r w:rsidRPr="00E84D59">
        <w:rPr>
          <w:i/>
        </w:rPr>
        <w:t>Personality Inventory for DSM 5 – Brief Form</w:t>
      </w:r>
      <w:r w:rsidRPr="00E84D59">
        <w:t xml:space="preserve"> (PID-5 BF; Krueger, Derringer, Markon, Watson, &amp; Skodol, 2012), the </w:t>
      </w:r>
      <w:r w:rsidRPr="00E84D59">
        <w:rPr>
          <w:i/>
          <w:iCs/>
        </w:rPr>
        <w:t>HEXACO Personality Inventory</w:t>
      </w:r>
      <w:r w:rsidRPr="00E84D59">
        <w:t> (HEXACO; Lee &amp; Ashton, 2004)</w:t>
      </w:r>
      <w:r w:rsidR="00343749" w:rsidRPr="00E84D59">
        <w:t xml:space="preserve">, the </w:t>
      </w:r>
      <w:r w:rsidR="00343749" w:rsidRPr="00E84D59">
        <w:rPr>
          <w:i/>
        </w:rPr>
        <w:t>Narcissistic Personality Inventory</w:t>
      </w:r>
      <w:r w:rsidR="00343749" w:rsidRPr="00E84D59">
        <w:t xml:space="preserve"> (NPI; Raskin &amp; Terry, 1988),</w:t>
      </w:r>
      <w:r w:rsidR="0087484B" w:rsidRPr="00E84D59">
        <w:t xml:space="preserve"> </w:t>
      </w:r>
      <w:r w:rsidR="00E95D43" w:rsidRPr="00E84D59">
        <w:t xml:space="preserve">and </w:t>
      </w:r>
      <w:r w:rsidR="0087484B" w:rsidRPr="00E84D59">
        <w:t xml:space="preserve">the </w:t>
      </w:r>
      <w:r w:rsidR="0087484B" w:rsidRPr="00E84D59">
        <w:rPr>
          <w:i/>
        </w:rPr>
        <w:t>Psychological Entitlement Scale</w:t>
      </w:r>
      <w:r w:rsidR="0087484B" w:rsidRPr="00E84D59">
        <w:t xml:space="preserve"> (</w:t>
      </w:r>
      <w:r w:rsidR="0057128C" w:rsidRPr="00E84D59">
        <w:t>PES; Campbell, Bonacci, Shelton, Exline, &amp; Bushman, 2004</w:t>
      </w:r>
      <w:r w:rsidR="00E95D43" w:rsidRPr="00E84D59">
        <w:t xml:space="preserve">). </w:t>
      </w:r>
    </w:p>
    <w:p w14:paraId="4372CCC5" w14:textId="76B3A599" w:rsidR="00C5449B" w:rsidRDefault="00A94DBB" w:rsidP="005E309C">
      <w:pPr>
        <w:spacing w:line="480" w:lineRule="auto"/>
        <w:ind w:firstLine="720"/>
      </w:pPr>
      <w:r w:rsidRPr="00E84D59">
        <w:t>The UPPS</w:t>
      </w:r>
      <w:r w:rsidR="00212252" w:rsidRPr="00E84D59">
        <w:t>-P</w:t>
      </w:r>
      <w:r w:rsidRPr="00E84D59">
        <w:t xml:space="preserve"> i</w:t>
      </w:r>
      <w:r w:rsidR="00A13FC2" w:rsidRPr="00E84D59">
        <w:t>s a</w:t>
      </w:r>
      <w:r w:rsidR="0052238D" w:rsidRPr="00E84D59">
        <w:t xml:space="preserve"> </w:t>
      </w:r>
      <w:r w:rsidR="00212252" w:rsidRPr="00E84D59">
        <w:t xml:space="preserve">58-item self-report measure of impulsigenic traits </w:t>
      </w:r>
      <w:r w:rsidR="00B20978" w:rsidRPr="00E84D59">
        <w:t>and comprises</w:t>
      </w:r>
      <w:r w:rsidR="00547D0D" w:rsidRPr="00E84D59">
        <w:t xml:space="preserve"> five subscales </w:t>
      </w:r>
      <w:r w:rsidR="000C7EAE" w:rsidRPr="00E84D59">
        <w:t xml:space="preserve">that </w:t>
      </w:r>
      <w:r w:rsidR="004519C5" w:rsidRPr="00E84D59">
        <w:t xml:space="preserve">ostensibly </w:t>
      </w:r>
      <w:r w:rsidR="00547D0D" w:rsidRPr="00E84D59">
        <w:t xml:space="preserve">reflect pathways to </w:t>
      </w:r>
      <w:r w:rsidR="00DD53C9">
        <w:t>different</w:t>
      </w:r>
      <w:r w:rsidR="00547D0D" w:rsidRPr="00E84D59">
        <w:t xml:space="preserve"> manifestations of impulsive behavior</w:t>
      </w:r>
      <w:r w:rsidR="0021461A" w:rsidRPr="00E84D59">
        <w:t>:</w:t>
      </w:r>
      <w:r w:rsidR="00547D0D" w:rsidRPr="00E84D59">
        <w:t xml:space="preserve"> </w:t>
      </w:r>
      <w:r w:rsidR="008C6731" w:rsidRPr="00E84D59">
        <w:t>Lack of Premeditation</w:t>
      </w:r>
      <w:r w:rsidR="0021461A" w:rsidRPr="00E84D59">
        <w:t>,</w:t>
      </w:r>
      <w:r w:rsidR="008C6731" w:rsidRPr="00E84D59">
        <w:t xml:space="preserve"> Negative Urgency</w:t>
      </w:r>
      <w:r w:rsidR="00AA3906" w:rsidRPr="00E84D59">
        <w:t xml:space="preserve">, </w:t>
      </w:r>
      <w:r w:rsidR="008C6731" w:rsidRPr="00E84D59">
        <w:t>Sensation S</w:t>
      </w:r>
      <w:r w:rsidR="008E51AC" w:rsidRPr="00E84D59">
        <w:t>eeking</w:t>
      </w:r>
      <w:r w:rsidR="0021461A" w:rsidRPr="00E84D59">
        <w:t xml:space="preserve">, </w:t>
      </w:r>
      <w:r w:rsidR="00342198" w:rsidRPr="00E84D59">
        <w:t xml:space="preserve">Lack of Perseverance, </w:t>
      </w:r>
      <w:r w:rsidR="00644CFA" w:rsidRPr="00E84D59">
        <w:t xml:space="preserve">and </w:t>
      </w:r>
      <w:r w:rsidR="00342198" w:rsidRPr="00E84D59">
        <w:t>Positive Urgency</w:t>
      </w:r>
      <w:r w:rsidR="00AA3906" w:rsidRPr="00E84D59">
        <w:t xml:space="preserve"> (see Berg, 2016)</w:t>
      </w:r>
      <w:r w:rsidR="00342198" w:rsidRPr="00E84D59">
        <w:t xml:space="preserve">. </w:t>
      </w:r>
      <w:r w:rsidR="002E3D6A" w:rsidRPr="00E84D59">
        <w:t>The VAST is a 13-item self-report measure of sadistic tendencies containing two subscales: Direct Sadism (α = 0.82, e.g., “I enjoy hurting people.”) and Vicarious Sadism (α = 0.78, e.g., “In video games, I like the realistic blood spurts.”). The ACME comprises three scales, Cognitive Empathy (CE), which aims to measure the ability to glean a conceptual, rather than affective, understanding of others’ emotional displays; Affective Resonance (AR</w:t>
      </w:r>
      <w:r w:rsidR="004F1122" w:rsidRPr="00E84D59">
        <w:t>)</w:t>
      </w:r>
      <w:r w:rsidR="002E3D6A" w:rsidRPr="00E84D59">
        <w:t>; and Affective Dissonance (AD), which aims to measure discordant emotionality with others (</w:t>
      </w:r>
      <w:r w:rsidRPr="00E84D59">
        <w:t>α</w:t>
      </w:r>
      <w:r w:rsidR="002E3D6A" w:rsidRPr="00E84D59">
        <w:t>s ranged from 0.89 to 0.96).</w:t>
      </w:r>
      <w:r w:rsidR="002E584F" w:rsidRPr="00E84D59">
        <w:t xml:space="preserve"> </w:t>
      </w:r>
      <w:r w:rsidR="002E3D6A" w:rsidRPr="00E84D59">
        <w:t xml:space="preserve">The PID-5 BF </w:t>
      </w:r>
      <w:r w:rsidR="008F1FFF" w:rsidRPr="00E84D59">
        <w:t xml:space="preserve">(Krueger et al., </w:t>
      </w:r>
      <w:r w:rsidR="004219EA" w:rsidRPr="00E84D59">
        <w:t xml:space="preserve">2012) </w:t>
      </w:r>
      <w:r w:rsidR="002E3D6A" w:rsidRPr="00E84D59">
        <w:t xml:space="preserve">is a 25-item self-report measure of the domains in the DSM-5 </w:t>
      </w:r>
      <w:r w:rsidR="00644CFA" w:rsidRPr="00E84D59">
        <w:t xml:space="preserve">(American Psychiatric Association, </w:t>
      </w:r>
      <w:r w:rsidR="00644CFA" w:rsidRPr="00E84D59">
        <w:lastRenderedPageBreak/>
        <w:t xml:space="preserve">2013) </w:t>
      </w:r>
      <w:r w:rsidR="002E3D6A" w:rsidRPr="00E84D59">
        <w:t>Alternative (Section 3) Model of Personality Disorders: Negative Affectivity, Detachment, Antagonism, Disinhibition, and Psychoticism (domain αs ranged from 0.85 to 0.89). The HEXACO</w:t>
      </w:r>
      <w:r w:rsidR="00D606FC" w:rsidRPr="00E84D59">
        <w:t xml:space="preserve"> (Lee &amp; Ashton, 2004)</w:t>
      </w:r>
      <w:r w:rsidR="002E3D6A" w:rsidRPr="00E84D59">
        <w:t xml:space="preserve"> is a</w:t>
      </w:r>
      <w:r w:rsidR="002E3D6A" w:rsidRPr="00E84D59">
        <w:rPr>
          <w:b/>
          <w:i/>
        </w:rPr>
        <w:t xml:space="preserve"> </w:t>
      </w:r>
      <w:r w:rsidR="002E3D6A" w:rsidRPr="00E84D59">
        <w:t>100-item measure of general personality that consists of 6 factors (the latter five of which correspond broadly to those in the five-factor model of personality): Honesty-Humility, Emotionality, Extraversion, Agreeableness, Conscientiousness, and Openness to Experience (domain αs ranged from .77 to .83).</w:t>
      </w:r>
      <w:r w:rsidR="0057128C" w:rsidRPr="00E84D59">
        <w:t xml:space="preserve"> </w:t>
      </w:r>
      <w:r w:rsidR="00343749" w:rsidRPr="00E84D59">
        <w:rPr>
          <w:iCs/>
        </w:rPr>
        <w:t xml:space="preserve">The </w:t>
      </w:r>
      <w:r w:rsidR="00392C08" w:rsidRPr="00E84D59">
        <w:rPr>
          <w:iCs/>
        </w:rPr>
        <w:t>NPI</w:t>
      </w:r>
      <w:r w:rsidR="00392C08" w:rsidRPr="00E84D59">
        <w:rPr>
          <w:i/>
          <w:iCs/>
        </w:rPr>
        <w:t xml:space="preserve"> </w:t>
      </w:r>
      <w:r w:rsidR="00392C08" w:rsidRPr="00E84D59">
        <w:t>(</w:t>
      </w:r>
      <w:r w:rsidR="00343749" w:rsidRPr="00E84D59">
        <w:t>Raskin</w:t>
      </w:r>
      <w:r w:rsidR="00343749" w:rsidRPr="00E84D59" w:rsidDel="000D05CB">
        <w:t xml:space="preserve"> </w:t>
      </w:r>
      <w:r w:rsidR="000D05CB">
        <w:t>&amp;</w:t>
      </w:r>
      <w:r w:rsidR="000D05CB" w:rsidRPr="00E84D59">
        <w:t xml:space="preserve"> </w:t>
      </w:r>
      <w:r w:rsidR="00343749" w:rsidRPr="00E84D59">
        <w:t>Terry, 1988) is a 40-item self-report measure of narcissism from which three broad dimensions can be derived (</w:t>
      </w:r>
      <w:r w:rsidR="004519C5" w:rsidRPr="00E84D59">
        <w:t xml:space="preserve">Ackerman et al., 2011; </w:t>
      </w:r>
      <w:r w:rsidR="00343749" w:rsidRPr="00E84D59">
        <w:t>Corry et al., 2008): Leadership/Authority (L/A; 10</w:t>
      </w:r>
      <w:r w:rsidR="0057128C" w:rsidRPr="00E84D59">
        <w:t xml:space="preserve"> items; α = 0.86</w:t>
      </w:r>
      <w:r w:rsidR="00343749" w:rsidRPr="00E84D59">
        <w:t>), Grandiose Exhib</w:t>
      </w:r>
      <w:r w:rsidR="0057128C" w:rsidRPr="00E84D59">
        <w:t>itionism (GE; 10 items; α = 0.81</w:t>
      </w:r>
      <w:r w:rsidR="00343749" w:rsidRPr="00E84D59">
        <w:t>), and Entitlement/Exploita</w:t>
      </w:r>
      <w:r w:rsidR="0057128C" w:rsidRPr="00E84D59">
        <w:t>tiveness (E/E; 4 items; α = 0.68</w:t>
      </w:r>
      <w:r w:rsidR="00343749" w:rsidRPr="00E84D59">
        <w:t>)</w:t>
      </w:r>
      <w:r w:rsidR="00095F24" w:rsidRPr="00E84D59">
        <w:t xml:space="preserve">. </w:t>
      </w:r>
      <w:r w:rsidR="0057128C" w:rsidRPr="00E84D59">
        <w:t>Finally, t</w:t>
      </w:r>
      <w:r w:rsidR="00392C08" w:rsidRPr="00E84D59">
        <w:t xml:space="preserve">he PES is an 8-item self-report </w:t>
      </w:r>
      <w:r w:rsidR="00644CFA" w:rsidRPr="00E84D59">
        <w:t xml:space="preserve">measure of </w:t>
      </w:r>
      <w:r w:rsidR="00604919" w:rsidRPr="00E84D59">
        <w:t xml:space="preserve">narcissistic </w:t>
      </w:r>
      <w:r w:rsidR="00644CFA" w:rsidRPr="00E84D59">
        <w:t xml:space="preserve">entitlement </w:t>
      </w:r>
      <w:r w:rsidR="005E7BC3" w:rsidRPr="00E84D59">
        <w:t>that yields</w:t>
      </w:r>
      <w:r w:rsidR="00392C08" w:rsidRPr="00E84D59">
        <w:t xml:space="preserve"> a total score (α = 0.86</w:t>
      </w:r>
      <w:r w:rsidR="00604919" w:rsidRPr="00E84D59">
        <w:t>)</w:t>
      </w:r>
      <w:r w:rsidR="00392C08" w:rsidRPr="00E84D59">
        <w:t>.</w:t>
      </w:r>
    </w:p>
    <w:p w14:paraId="6565A204" w14:textId="6107B7E2" w:rsidR="00255D19" w:rsidRPr="00F760B0" w:rsidRDefault="00255D19" w:rsidP="00F760B0">
      <w:pPr>
        <w:spacing w:line="480" w:lineRule="auto"/>
        <w:ind w:firstLine="720"/>
      </w:pPr>
      <w:r w:rsidRPr="00737213">
        <w:rPr>
          <w:b/>
          <w:bCs/>
        </w:rPr>
        <w:t>Measurement invariance.</w:t>
      </w:r>
      <w:r>
        <w:t xml:space="preserve"> </w:t>
      </w:r>
      <w:r w:rsidR="008A770A">
        <w:t xml:space="preserve">All measurement invariance analyses were conducted in </w:t>
      </w:r>
      <w:r w:rsidR="008A770A" w:rsidRPr="00E84D59">
        <w:t xml:space="preserve">Mplus version 7.2 (Muthén &amp; Muthén, 2013). </w:t>
      </w:r>
      <w:r>
        <w:t xml:space="preserve">First, we examined </w:t>
      </w:r>
      <w:r w:rsidRPr="00531089">
        <w:t>metric invariance</w:t>
      </w:r>
      <w:r>
        <w:t xml:space="preserve">, which constrains </w:t>
      </w:r>
      <w:r w:rsidRPr="00531089">
        <w:t>factor loadings</w:t>
      </w:r>
      <w:r>
        <w:t xml:space="preserve"> to</w:t>
      </w:r>
      <w:r w:rsidRPr="00531089">
        <w:t xml:space="preserve"> </w:t>
      </w:r>
      <w:r>
        <w:t>equality</w:t>
      </w:r>
      <w:r w:rsidRPr="00531089">
        <w:t xml:space="preserve"> across gender</w:t>
      </w:r>
      <w:r>
        <w:t xml:space="preserve">; this model was compared against a configural model, which specifies the same structural model in men and women with no other constraints imposed. Second, we examined scalar invariance, which constrains </w:t>
      </w:r>
      <w:r w:rsidRPr="00531089">
        <w:t xml:space="preserve">intercepts </w:t>
      </w:r>
      <w:r>
        <w:t>to equality</w:t>
      </w:r>
      <w:r w:rsidRPr="00531089">
        <w:t xml:space="preserve"> across gender</w:t>
      </w:r>
      <w:r>
        <w:t xml:space="preserve">. Third, we examined strict invariance, which constrains residual (error) variances to equality across gender. We then examined structural invariance, which would inform the extent to which there are differences in latent variances, covariances, and means in ISOP factors across gender. To do so, we constrained factor variances, covariances, and means to equality in a sequential manner. </w:t>
      </w:r>
      <w:r w:rsidRPr="00531089">
        <w:t xml:space="preserve">For each additional constraint, changes in CFI of </w:t>
      </w:r>
      <w:r>
        <w:t xml:space="preserve">at most </w:t>
      </w:r>
      <w:r w:rsidRPr="00531089">
        <w:t>-.002</w:t>
      </w:r>
      <w:r>
        <w:t xml:space="preserve"> </w:t>
      </w:r>
      <w:r w:rsidRPr="00531089">
        <w:t xml:space="preserve">(Meade et al., 2008) and in RMSEA of </w:t>
      </w:r>
      <w:r>
        <w:t>at least +</w:t>
      </w:r>
      <w:r w:rsidRPr="00531089">
        <w:t>.015 (Chen, 2007) relative to the immediately preceding nested model were considered e</w:t>
      </w:r>
      <w:r>
        <w:t>vidence of gender noninvariance.</w:t>
      </w:r>
    </w:p>
    <w:p w14:paraId="1D04FA86" w14:textId="53084113" w:rsidR="00980AE3" w:rsidRPr="00E84D59" w:rsidRDefault="00980AE3" w:rsidP="00272253">
      <w:pPr>
        <w:spacing w:line="480" w:lineRule="auto"/>
        <w:rPr>
          <w:b/>
        </w:rPr>
      </w:pPr>
      <w:r w:rsidRPr="00E84D59">
        <w:rPr>
          <w:b/>
        </w:rPr>
        <w:lastRenderedPageBreak/>
        <w:t>Results</w:t>
      </w:r>
      <w:r w:rsidR="00AD0790" w:rsidRPr="00E84D59">
        <w:rPr>
          <w:b/>
        </w:rPr>
        <w:t xml:space="preserve"> and Discussion</w:t>
      </w:r>
    </w:p>
    <w:p w14:paraId="7BAD8F0B" w14:textId="162CDBF1" w:rsidR="008C283C" w:rsidRPr="00E84D59" w:rsidRDefault="00980AE3" w:rsidP="008B504D">
      <w:pPr>
        <w:spacing w:line="480" w:lineRule="auto"/>
      </w:pPr>
      <w:r w:rsidRPr="00E84D59">
        <w:rPr>
          <w:b/>
        </w:rPr>
        <w:tab/>
      </w:r>
      <w:r w:rsidR="006D393F" w:rsidRPr="00E84D59">
        <w:rPr>
          <w:b/>
        </w:rPr>
        <w:t>Aim 1: Broadening the ISOS-P to include attitudes</w:t>
      </w:r>
      <w:r w:rsidRPr="00A90724">
        <w:rPr>
          <w:b/>
        </w:rPr>
        <w:t>.</w:t>
      </w:r>
      <w:r w:rsidRPr="00E84D59">
        <w:rPr>
          <w:b/>
        </w:rPr>
        <w:t xml:space="preserve"> </w:t>
      </w:r>
      <w:r w:rsidR="002A4828">
        <w:rPr>
          <w:bCs/>
        </w:rPr>
        <w:t xml:space="preserve">Having examined </w:t>
      </w:r>
      <w:r w:rsidRPr="00E84D59">
        <w:t xml:space="preserve">a series of </w:t>
      </w:r>
      <w:r w:rsidR="001A6B3B">
        <w:t>alternative</w:t>
      </w:r>
      <w:r w:rsidR="001A6B3B" w:rsidRPr="00E84D59">
        <w:t xml:space="preserve"> </w:t>
      </w:r>
      <w:r w:rsidRPr="00E84D59">
        <w:t>models</w:t>
      </w:r>
      <w:r w:rsidR="00B9793C">
        <w:rPr>
          <w:rStyle w:val="FootnoteReference"/>
        </w:rPr>
        <w:footnoteReference w:id="5"/>
      </w:r>
      <w:r w:rsidR="009C2288">
        <w:t xml:space="preserve"> </w:t>
      </w:r>
      <w:r w:rsidR="001A6B3B">
        <w:t xml:space="preserve">using confirmatory factor analysis </w:t>
      </w:r>
      <w:r w:rsidR="009C2288">
        <w:t>(see Supplementary materials</w:t>
      </w:r>
      <w:r w:rsidR="00DA112C">
        <w:t xml:space="preserve"> for a</w:t>
      </w:r>
      <w:r w:rsidR="00DA112C" w:rsidRPr="00E84D59">
        <w:t xml:space="preserve">ll </w:t>
      </w:r>
      <w:r w:rsidR="00DA112C">
        <w:t xml:space="preserve">tested </w:t>
      </w:r>
      <w:r w:rsidR="00DA112C" w:rsidRPr="00E84D59">
        <w:t>models’ fit</w:t>
      </w:r>
      <w:r w:rsidR="00DA112C">
        <w:t xml:space="preserve"> statistics</w:t>
      </w:r>
      <w:r w:rsidR="00DA112C" w:rsidRPr="00E84D59">
        <w:t>, factor intercorrelations, and loadings</w:t>
      </w:r>
      <w:r w:rsidR="00DA112C">
        <w:t xml:space="preserve">, as well as a more detailed account of our factor analytic </w:t>
      </w:r>
      <w:r w:rsidR="00404D5B">
        <w:t xml:space="preserve">approach and </w:t>
      </w:r>
      <w:r w:rsidR="00DA112C">
        <w:t>decision-making process)</w:t>
      </w:r>
      <w:r w:rsidR="002A4828">
        <w:t xml:space="preserve">, we elected to move forward with a </w:t>
      </w:r>
      <w:r w:rsidR="002A4828" w:rsidRPr="00E84D59">
        <w:t>first-order</w:t>
      </w:r>
      <w:r w:rsidR="002A4828">
        <w:t xml:space="preserve"> two-factor</w:t>
      </w:r>
      <w:r w:rsidR="002A4828" w:rsidRPr="00E84D59">
        <w:t xml:space="preserve"> oblique model</w:t>
      </w:r>
      <w:r w:rsidR="002A4828">
        <w:t xml:space="preserve"> (see Table 1), which </w:t>
      </w:r>
      <w:r w:rsidR="001A6B3B">
        <w:t xml:space="preserve">generally </w:t>
      </w:r>
      <w:r w:rsidR="002A4828" w:rsidRPr="00E84D59">
        <w:t>fit the data well</w:t>
      </w:r>
      <w:r w:rsidR="002A4828">
        <w:t xml:space="preserve"> </w:t>
      </w:r>
      <w:r w:rsidR="002A4828" w:rsidRPr="00E84D59">
        <w:t>(</w:t>
      </w:r>
      <w:r w:rsidR="002A4828" w:rsidRPr="00E84D59">
        <w:rPr>
          <w:bCs/>
          <w:i/>
          <w:shd w:val="clear" w:color="auto" w:fill="FFFFFF"/>
        </w:rPr>
        <w:t>Χ</w:t>
      </w:r>
      <w:r w:rsidR="002A4828" w:rsidRPr="00E84D59">
        <w:rPr>
          <w:bCs/>
          <w:shd w:val="clear" w:color="auto" w:fill="FFFFFF"/>
          <w:vertAlign w:val="superscript"/>
        </w:rPr>
        <w:t>2</w:t>
      </w:r>
      <w:r w:rsidR="002A4828" w:rsidRPr="00E84D59">
        <w:t xml:space="preserve"> = </w:t>
      </w:r>
      <w:r w:rsidR="00B81533">
        <w:t>1165</w:t>
      </w:r>
      <w:r w:rsidR="002A4828" w:rsidRPr="00E84D59">
        <w:t xml:space="preserve">, df = </w:t>
      </w:r>
      <w:r w:rsidR="00B81533">
        <w:t>188</w:t>
      </w:r>
      <w:r w:rsidR="002A4828" w:rsidRPr="00E84D59">
        <w:t xml:space="preserve">, </w:t>
      </w:r>
      <w:r w:rsidR="002A4828" w:rsidRPr="00737213">
        <w:rPr>
          <w:i/>
          <w:iCs/>
        </w:rPr>
        <w:t>p</w:t>
      </w:r>
      <w:r w:rsidR="002A4828" w:rsidRPr="00E84D59">
        <w:t>&lt;.001</w:t>
      </w:r>
      <w:r w:rsidR="002A4828" w:rsidRPr="001F2407">
        <w:t>; RMSEA = .11; CFI =</w:t>
      </w:r>
      <w:r w:rsidR="002A4828" w:rsidRPr="00E84D59">
        <w:t xml:space="preserve"> .9</w:t>
      </w:r>
      <w:r w:rsidR="00B81533">
        <w:t>7</w:t>
      </w:r>
      <w:r w:rsidR="002A4828" w:rsidRPr="00E84D59">
        <w:t>; TLI = .9</w:t>
      </w:r>
      <w:r w:rsidR="00B81533">
        <w:t>7</w:t>
      </w:r>
      <w:r w:rsidR="002A4828" w:rsidRPr="00E84D59">
        <w:t>)</w:t>
      </w:r>
      <w:r w:rsidR="002A4828">
        <w:t xml:space="preserve">. This model comprised </w:t>
      </w:r>
      <w:r w:rsidR="001F2407">
        <w:t xml:space="preserve">Behaviors </w:t>
      </w:r>
      <w:r w:rsidR="001F2407">
        <w:rPr>
          <w:shd w:val="clear" w:color="auto" w:fill="FFFFFF"/>
        </w:rPr>
        <w:t>and</w:t>
      </w:r>
      <w:r w:rsidR="002A4828">
        <w:t xml:space="preserve"> Attitudes </w:t>
      </w:r>
      <w:r w:rsidR="0052300E">
        <w:t>that</w:t>
      </w:r>
      <w:r w:rsidR="00E21882">
        <w:t xml:space="preserve"> </w:t>
      </w:r>
      <w:r w:rsidR="002A4828">
        <w:t xml:space="preserve">were highly correlated </w:t>
      </w:r>
      <w:r w:rsidR="002A4828" w:rsidRPr="00E84D59">
        <w:t>(</w:t>
      </w:r>
      <w:r w:rsidR="002A4828" w:rsidRPr="00E84D59">
        <w:rPr>
          <w:i/>
        </w:rPr>
        <w:t>r</w:t>
      </w:r>
      <w:r w:rsidR="002A4828" w:rsidRPr="00E84D59">
        <w:t xml:space="preserve"> = .</w:t>
      </w:r>
      <w:r w:rsidR="006B73C6">
        <w:t>78</w:t>
      </w:r>
      <w:r w:rsidR="002A4828" w:rsidRPr="00E84D59">
        <w:t xml:space="preserve">, </w:t>
      </w:r>
      <w:r w:rsidR="002A4828" w:rsidRPr="00E84D59">
        <w:rPr>
          <w:i/>
        </w:rPr>
        <w:t>p</w:t>
      </w:r>
      <w:r w:rsidR="002A4828" w:rsidRPr="00E84D59">
        <w:t>&lt;.001)</w:t>
      </w:r>
      <w:r w:rsidR="002A4828">
        <w:rPr>
          <w:shd w:val="clear" w:color="auto" w:fill="FFFFFF"/>
        </w:rPr>
        <w:t xml:space="preserve">. </w:t>
      </w:r>
    </w:p>
    <w:p w14:paraId="201497A2" w14:textId="35D8CA17" w:rsidR="00277DB2" w:rsidRPr="00737213" w:rsidRDefault="00277997" w:rsidP="008B504D">
      <w:pPr>
        <w:spacing w:line="480" w:lineRule="auto"/>
        <w:rPr>
          <w:color w:val="000000"/>
          <w:highlight w:val="cyan"/>
          <w:shd w:val="clear" w:color="auto" w:fill="FFFFFF"/>
        </w:rPr>
      </w:pPr>
      <w:r>
        <w:tab/>
      </w:r>
      <w:r>
        <w:rPr>
          <w:b/>
          <w:i/>
        </w:rPr>
        <w:t xml:space="preserve">Gender invariance. </w:t>
      </w:r>
      <w:r w:rsidR="00754B79">
        <w:t>W</w:t>
      </w:r>
      <w:r w:rsidR="00F53BA2">
        <w:t>e</w:t>
      </w:r>
      <w:r w:rsidR="00181377">
        <w:t xml:space="preserve"> </w:t>
      </w:r>
      <w:r w:rsidR="00DA112C">
        <w:t xml:space="preserve">next </w:t>
      </w:r>
      <w:r w:rsidR="00F53BA2">
        <w:t xml:space="preserve">tested the </w:t>
      </w:r>
      <w:r w:rsidR="00F53BA2" w:rsidRPr="002C317E">
        <w:t xml:space="preserve">measurement </w:t>
      </w:r>
      <w:r w:rsidR="00AA11EB" w:rsidRPr="00394391">
        <w:t>and structural</w:t>
      </w:r>
      <w:r w:rsidR="00AA11EB" w:rsidRPr="002C317E">
        <w:t xml:space="preserve"> </w:t>
      </w:r>
      <w:r w:rsidR="00F53BA2" w:rsidRPr="000839FB">
        <w:t>invariance</w:t>
      </w:r>
      <w:r w:rsidR="00F53BA2">
        <w:t xml:space="preserve"> </w:t>
      </w:r>
      <w:r w:rsidR="00AA11EB">
        <w:t xml:space="preserve">of the two-factor </w:t>
      </w:r>
      <w:r w:rsidR="00AA11EB" w:rsidRPr="00E84D59">
        <w:t>first-order oblique model</w:t>
      </w:r>
      <w:r w:rsidR="00AA11EB">
        <w:t xml:space="preserve"> </w:t>
      </w:r>
      <w:r w:rsidR="00FB4565">
        <w:t xml:space="preserve">using multiple-group </w:t>
      </w:r>
      <w:r w:rsidR="00181377">
        <w:t>CFA</w:t>
      </w:r>
      <w:r w:rsidR="00F53BA2">
        <w:t>.</w:t>
      </w:r>
      <w:r w:rsidR="00AA11EB" w:rsidDel="00181377">
        <w:t xml:space="preserve"> </w:t>
      </w:r>
      <w:r w:rsidR="00FA7E62">
        <w:t>T</w:t>
      </w:r>
      <w:r w:rsidR="004C0D12">
        <w:rPr>
          <w:color w:val="000000"/>
          <w:shd w:val="clear" w:color="auto" w:fill="FFFFFF"/>
        </w:rPr>
        <w:t xml:space="preserve">he </w:t>
      </w:r>
      <w:r w:rsidR="00376E70">
        <w:rPr>
          <w:color w:val="000000"/>
          <w:shd w:val="clear" w:color="auto" w:fill="FFFFFF"/>
        </w:rPr>
        <w:t xml:space="preserve">two-factor first-order </w:t>
      </w:r>
      <w:r w:rsidR="006012DF">
        <w:rPr>
          <w:color w:val="000000"/>
          <w:shd w:val="clear" w:color="auto" w:fill="FFFFFF"/>
        </w:rPr>
        <w:t xml:space="preserve">oblique </w:t>
      </w:r>
      <w:r w:rsidR="00376E70">
        <w:rPr>
          <w:color w:val="000000"/>
          <w:shd w:val="clear" w:color="auto" w:fill="FFFFFF"/>
        </w:rPr>
        <w:t xml:space="preserve">model </w:t>
      </w:r>
      <w:r w:rsidR="004C0D12">
        <w:rPr>
          <w:color w:val="000000"/>
          <w:shd w:val="clear" w:color="auto" w:fill="FFFFFF"/>
        </w:rPr>
        <w:t>met metric (</w:t>
      </w:r>
      <w:r w:rsidR="006012DF">
        <w:rPr>
          <w:color w:val="000000"/>
          <w:shd w:val="clear" w:color="auto" w:fill="FFFFFF"/>
        </w:rPr>
        <w:t xml:space="preserve">equated </w:t>
      </w:r>
      <w:r w:rsidR="004C0D12">
        <w:rPr>
          <w:color w:val="000000"/>
          <w:shd w:val="clear" w:color="auto" w:fill="FFFFFF"/>
        </w:rPr>
        <w:t>loadings), scalar (</w:t>
      </w:r>
      <w:r w:rsidR="006012DF">
        <w:rPr>
          <w:color w:val="000000"/>
          <w:shd w:val="clear" w:color="auto" w:fill="FFFFFF"/>
        </w:rPr>
        <w:t xml:space="preserve">equated </w:t>
      </w:r>
      <w:r w:rsidR="004C0D12">
        <w:rPr>
          <w:color w:val="000000"/>
          <w:shd w:val="clear" w:color="auto" w:fill="FFFFFF"/>
        </w:rPr>
        <w:t xml:space="preserve">intercepts), and </w:t>
      </w:r>
      <w:r w:rsidR="006012DF">
        <w:rPr>
          <w:color w:val="000000"/>
          <w:shd w:val="clear" w:color="auto" w:fill="FFFFFF"/>
        </w:rPr>
        <w:t xml:space="preserve">strict </w:t>
      </w:r>
      <w:r w:rsidR="004C0D12">
        <w:rPr>
          <w:color w:val="000000"/>
          <w:shd w:val="clear" w:color="auto" w:fill="FFFFFF"/>
        </w:rPr>
        <w:t>(</w:t>
      </w:r>
      <w:r w:rsidR="006012DF">
        <w:rPr>
          <w:color w:val="000000"/>
          <w:shd w:val="clear" w:color="auto" w:fill="FFFFFF"/>
        </w:rPr>
        <w:t xml:space="preserve">equated </w:t>
      </w:r>
      <w:r w:rsidR="004C0D12">
        <w:rPr>
          <w:color w:val="000000"/>
          <w:shd w:val="clear" w:color="auto" w:fill="FFFFFF"/>
        </w:rPr>
        <w:t>residuals) invariance</w:t>
      </w:r>
      <w:r w:rsidR="00941D80">
        <w:rPr>
          <w:color w:val="000000"/>
          <w:shd w:val="clear" w:color="auto" w:fill="FFFFFF"/>
        </w:rPr>
        <w:t xml:space="preserve"> (See Table S11</w:t>
      </w:r>
      <w:r w:rsidR="002B07D1">
        <w:rPr>
          <w:color w:val="000000"/>
          <w:shd w:val="clear" w:color="auto" w:fill="FFFFFF"/>
        </w:rPr>
        <w:t>)</w:t>
      </w:r>
      <w:r w:rsidR="00CF4147">
        <w:rPr>
          <w:color w:val="000000"/>
          <w:shd w:val="clear" w:color="auto" w:fill="FFFFFF"/>
        </w:rPr>
        <w:t xml:space="preserve">, </w:t>
      </w:r>
      <w:r w:rsidR="006D393F">
        <w:rPr>
          <w:color w:val="000000"/>
          <w:shd w:val="clear" w:color="auto" w:fill="FFFFFF"/>
        </w:rPr>
        <w:t>suggesting</w:t>
      </w:r>
      <w:r w:rsidR="00AC3753">
        <w:rPr>
          <w:color w:val="000000"/>
          <w:shd w:val="clear" w:color="auto" w:fill="FFFFFF"/>
        </w:rPr>
        <w:t xml:space="preserve"> that </w:t>
      </w:r>
      <w:r w:rsidR="00277DB2">
        <w:rPr>
          <w:color w:val="000000"/>
          <w:shd w:val="clear" w:color="auto" w:fill="FFFFFF"/>
        </w:rPr>
        <w:t>the ISOS-P</w:t>
      </w:r>
      <w:r w:rsidR="00FF0A61">
        <w:rPr>
          <w:color w:val="000000"/>
          <w:shd w:val="clear" w:color="auto" w:fill="FFFFFF"/>
        </w:rPr>
        <w:t>R</w:t>
      </w:r>
      <w:r w:rsidR="00277DB2">
        <w:rPr>
          <w:color w:val="000000"/>
          <w:shd w:val="clear" w:color="auto" w:fill="FFFFFF"/>
        </w:rPr>
        <w:t xml:space="preserve"> assesses the same latent construct across males and females. </w:t>
      </w:r>
      <w:r w:rsidR="009C2288" w:rsidRPr="00D92274">
        <w:rPr>
          <w:color w:val="000000"/>
          <w:shd w:val="clear" w:color="auto" w:fill="FFFFFF"/>
        </w:rPr>
        <w:t>W</w:t>
      </w:r>
      <w:r w:rsidR="00C94AAB" w:rsidRPr="00D92274">
        <w:rPr>
          <w:color w:val="000000"/>
          <w:shd w:val="clear" w:color="auto" w:fill="FFFFFF"/>
        </w:rPr>
        <w:t xml:space="preserve">e could not equate </w:t>
      </w:r>
      <w:r w:rsidR="003F7025" w:rsidRPr="00D92274">
        <w:rPr>
          <w:color w:val="000000"/>
          <w:shd w:val="clear" w:color="auto" w:fill="FFFFFF"/>
        </w:rPr>
        <w:t>latent factor variances across gender</w:t>
      </w:r>
      <w:r w:rsidR="001A6B3B" w:rsidRPr="00D92274">
        <w:rPr>
          <w:color w:val="000000"/>
          <w:shd w:val="clear" w:color="auto" w:fill="FFFFFF"/>
        </w:rPr>
        <w:t>, precluding further tests of equating latent factor covariances and means. In this model, latent factor variances</w:t>
      </w:r>
      <w:r w:rsidR="00D32E24" w:rsidRPr="00D92274">
        <w:rPr>
          <w:color w:val="000000"/>
          <w:shd w:val="clear" w:color="auto" w:fill="FFFFFF"/>
        </w:rPr>
        <w:t>, particularly ISOP Behaviors,</w:t>
      </w:r>
      <w:r w:rsidR="001A6B3B" w:rsidRPr="00D92274">
        <w:rPr>
          <w:color w:val="000000"/>
          <w:shd w:val="clear" w:color="auto" w:fill="FFFFFF"/>
        </w:rPr>
        <w:t xml:space="preserve"> were larger for </w:t>
      </w:r>
      <w:r w:rsidR="00292557" w:rsidRPr="00D92274">
        <w:rPr>
          <w:color w:val="000000"/>
          <w:shd w:val="clear" w:color="auto" w:fill="FFFFFF"/>
        </w:rPr>
        <w:t>women</w:t>
      </w:r>
      <w:r w:rsidR="00DD53C9">
        <w:rPr>
          <w:color w:val="000000"/>
          <w:shd w:val="clear" w:color="auto" w:fill="FFFFFF"/>
        </w:rPr>
        <w:t>,</w:t>
      </w:r>
      <w:r w:rsidR="001A6B3B" w:rsidRPr="00D92274">
        <w:rPr>
          <w:color w:val="000000"/>
          <w:shd w:val="clear" w:color="auto" w:fill="FFFFFF"/>
        </w:rPr>
        <w:t xml:space="preserve"> </w:t>
      </w:r>
      <w:r w:rsidR="00292557" w:rsidRPr="00D92274">
        <w:rPr>
          <w:color w:val="000000"/>
          <w:shd w:val="clear" w:color="auto" w:fill="FFFFFF"/>
        </w:rPr>
        <w:t>and latent factor means</w:t>
      </w:r>
      <w:r w:rsidR="00D32E24" w:rsidRPr="00D92274">
        <w:rPr>
          <w:color w:val="000000"/>
          <w:shd w:val="clear" w:color="auto" w:fill="FFFFFF"/>
        </w:rPr>
        <w:t xml:space="preserve">, </w:t>
      </w:r>
      <w:r w:rsidR="00D32E24" w:rsidRPr="00D92274">
        <w:rPr>
          <w:color w:val="000000"/>
          <w:shd w:val="clear" w:color="auto" w:fill="FFFFFF"/>
        </w:rPr>
        <w:lastRenderedPageBreak/>
        <w:t>particularly ISOP Behaviors,</w:t>
      </w:r>
      <w:r w:rsidR="00292557" w:rsidRPr="00D92274">
        <w:rPr>
          <w:color w:val="000000"/>
          <w:shd w:val="clear" w:color="auto" w:fill="FFFFFF"/>
        </w:rPr>
        <w:t xml:space="preserve"> were larger for men</w:t>
      </w:r>
      <w:r w:rsidR="001A6B3B" w:rsidRPr="00D92274">
        <w:rPr>
          <w:color w:val="000000"/>
          <w:shd w:val="clear" w:color="auto" w:fill="FFFFFF"/>
        </w:rPr>
        <w:t xml:space="preserve">. The correlation between </w:t>
      </w:r>
      <w:r w:rsidR="004A39B1" w:rsidRPr="00D92274">
        <w:rPr>
          <w:color w:val="000000"/>
          <w:shd w:val="clear" w:color="auto" w:fill="FFFFFF"/>
        </w:rPr>
        <w:t>ISOP Attitudes and Behaviors was .</w:t>
      </w:r>
      <w:r w:rsidR="00D32E24" w:rsidRPr="00D92274">
        <w:rPr>
          <w:color w:val="000000"/>
          <w:shd w:val="clear" w:color="auto" w:fill="FFFFFF"/>
        </w:rPr>
        <w:t>74</w:t>
      </w:r>
      <w:r w:rsidR="004A39B1" w:rsidRPr="00D92274">
        <w:rPr>
          <w:color w:val="000000"/>
          <w:shd w:val="clear" w:color="auto" w:fill="FFFFFF"/>
        </w:rPr>
        <w:t xml:space="preserve"> for men and .</w:t>
      </w:r>
      <w:r w:rsidR="00D32E24" w:rsidRPr="00D92274">
        <w:rPr>
          <w:color w:val="000000"/>
          <w:shd w:val="clear" w:color="auto" w:fill="FFFFFF"/>
        </w:rPr>
        <w:t>85</w:t>
      </w:r>
      <w:r w:rsidR="004A39B1" w:rsidRPr="00D92274">
        <w:rPr>
          <w:color w:val="000000"/>
          <w:shd w:val="clear" w:color="auto" w:fill="FFFFFF"/>
        </w:rPr>
        <w:t xml:space="preserve"> for women.</w:t>
      </w:r>
      <w:r w:rsidR="004A39B1">
        <w:rPr>
          <w:color w:val="000000"/>
          <w:shd w:val="clear" w:color="auto" w:fill="FFFFFF"/>
        </w:rPr>
        <w:t xml:space="preserve"> </w:t>
      </w:r>
    </w:p>
    <w:p w14:paraId="44E98116" w14:textId="3C76BE45" w:rsidR="0062284B" w:rsidRDefault="00980AE3" w:rsidP="00AD1E32">
      <w:pPr>
        <w:spacing w:line="480" w:lineRule="auto"/>
        <w:ind w:firstLine="720"/>
      </w:pPr>
      <w:r w:rsidRPr="00E84D59">
        <w:rPr>
          <w:b/>
        </w:rPr>
        <w:t>Aim 2a: Relations between psychopathy and ISOP.</w:t>
      </w:r>
      <w:r w:rsidRPr="00E84D59">
        <w:t xml:space="preserve"> </w:t>
      </w:r>
      <w:r w:rsidR="00B13B97" w:rsidRPr="00E84D59">
        <w:t>Table 2</w:t>
      </w:r>
      <w:r w:rsidRPr="00E84D59">
        <w:t xml:space="preserve"> displays zero-order correlations</w:t>
      </w:r>
      <w:r w:rsidR="007A4309" w:rsidRPr="00E84D59">
        <w:t xml:space="preserve"> and</w:t>
      </w:r>
      <w:r w:rsidR="00C96696" w:rsidRPr="00E84D59">
        <w:t xml:space="preserve"> standardized Betas</w:t>
      </w:r>
      <w:r w:rsidR="007A4309" w:rsidRPr="00E84D59">
        <w:t xml:space="preserve"> </w:t>
      </w:r>
      <w:r w:rsidR="00C96696" w:rsidRPr="00E84D59">
        <w:t>(</w:t>
      </w:r>
      <w:r w:rsidR="007A4309" w:rsidRPr="00E84D59">
        <w:t>ßs</w:t>
      </w:r>
      <w:r w:rsidR="00C96696" w:rsidRPr="00E84D59">
        <w:t>)</w:t>
      </w:r>
      <w:r w:rsidR="00885C8D">
        <w:t xml:space="preserve"> for all hypothesized relations.</w:t>
      </w:r>
      <w:r w:rsidR="0088156F">
        <w:t xml:space="preserve"> </w:t>
      </w:r>
      <w:r w:rsidR="00E93116" w:rsidRPr="00E84D59">
        <w:t>ßs</w:t>
      </w:r>
      <w:r w:rsidR="0086339C" w:rsidRPr="00E84D59" w:rsidDel="00E93116">
        <w:t xml:space="preserve"> </w:t>
      </w:r>
      <w:r w:rsidR="0086339C" w:rsidRPr="00E84D59">
        <w:t>were derived</w:t>
      </w:r>
      <w:r w:rsidRPr="00E84D59">
        <w:t xml:space="preserve"> </w:t>
      </w:r>
      <w:r w:rsidR="0086339C" w:rsidRPr="00E84D59">
        <w:t xml:space="preserve">from multiple regressions in which all subscales </w:t>
      </w:r>
      <w:r w:rsidR="00E93116">
        <w:t xml:space="preserve">of </w:t>
      </w:r>
      <w:r w:rsidR="00DA112C">
        <w:t xml:space="preserve">either the PPI-R or TriPM </w:t>
      </w:r>
      <w:r w:rsidR="0086339C" w:rsidRPr="00E84D59">
        <w:t xml:space="preserve">were entered </w:t>
      </w:r>
      <w:r w:rsidR="00E93116" w:rsidRPr="00E84D59">
        <w:t xml:space="preserve">into the model </w:t>
      </w:r>
      <w:r w:rsidR="0086339C" w:rsidRPr="00E84D59">
        <w:t>simultaneously</w:t>
      </w:r>
      <w:r w:rsidRPr="00E84D59">
        <w:t>. By and large, psychopathy subdimensions were</w:t>
      </w:r>
      <w:r w:rsidR="008666C2" w:rsidRPr="00E84D59">
        <w:t xml:space="preserve"> </w:t>
      </w:r>
      <w:r w:rsidRPr="00E84D59">
        <w:t xml:space="preserve">significantly and positively associated with </w:t>
      </w:r>
      <w:r w:rsidR="00B74049" w:rsidRPr="00E84D59">
        <w:t>ISOP</w:t>
      </w:r>
      <w:r w:rsidR="008666C2" w:rsidRPr="00E84D59">
        <w:t xml:space="preserve"> attitudes and behaviors</w:t>
      </w:r>
      <w:r w:rsidRPr="00E84D59">
        <w:t xml:space="preserve">. </w:t>
      </w:r>
      <w:r w:rsidR="00691E77">
        <w:t>E</w:t>
      </w:r>
      <w:r w:rsidR="0021461A" w:rsidRPr="00E84D59">
        <w:t xml:space="preserve">ffect sizes </w:t>
      </w:r>
      <w:r w:rsidRPr="00E84D59">
        <w:t xml:space="preserve">for TriPM Meanness, TriPM Disinhibition, and PPI-R </w:t>
      </w:r>
      <w:r w:rsidR="004219EA" w:rsidRPr="00E84D59">
        <w:t>SCI</w:t>
      </w:r>
      <w:r w:rsidRPr="00E84D59">
        <w:t xml:space="preserve"> were large in magnitude (</w:t>
      </w:r>
      <w:r w:rsidRPr="00E84D59">
        <w:rPr>
          <w:i/>
        </w:rPr>
        <w:t>r</w:t>
      </w:r>
      <w:r w:rsidRPr="00E84D59">
        <w:t>s ranged from .6</w:t>
      </w:r>
      <w:r w:rsidR="00DA112C">
        <w:t>6</w:t>
      </w:r>
      <w:r w:rsidRPr="00E84D59">
        <w:t xml:space="preserve"> to .72); tests of dependent correlations</w:t>
      </w:r>
      <w:r w:rsidR="008666C2" w:rsidRPr="00E84D59">
        <w:t xml:space="preserve"> </w:t>
      </w:r>
      <w:r w:rsidR="0021461A" w:rsidRPr="00E84D59">
        <w:t>reveal</w:t>
      </w:r>
      <w:r w:rsidR="004519C5" w:rsidRPr="00E84D59">
        <w:t>ed</w:t>
      </w:r>
      <w:r w:rsidRPr="00E84D59">
        <w:t xml:space="preserve"> </w:t>
      </w:r>
      <w:r w:rsidR="004519C5" w:rsidRPr="00E84D59">
        <w:t xml:space="preserve">no </w:t>
      </w:r>
      <w:r w:rsidRPr="00E84D59">
        <w:t xml:space="preserve">significant differences </w:t>
      </w:r>
      <w:r w:rsidR="00DA112C" w:rsidRPr="00E84D59">
        <w:t xml:space="preserve">both </w:t>
      </w:r>
      <w:r w:rsidR="0021461A" w:rsidRPr="00E84D59">
        <w:t xml:space="preserve">across </w:t>
      </w:r>
      <w:r w:rsidR="00FB1CE8">
        <w:t>these three</w:t>
      </w:r>
      <w:r w:rsidR="0021461A" w:rsidRPr="00E84D59">
        <w:t xml:space="preserve"> subdimensions and </w:t>
      </w:r>
      <w:r w:rsidR="00DA112C">
        <w:t xml:space="preserve">across </w:t>
      </w:r>
      <w:r w:rsidR="0021461A" w:rsidRPr="00E84D59">
        <w:t xml:space="preserve">the ISOS-PR factors. </w:t>
      </w:r>
      <w:r w:rsidR="003B6CD3" w:rsidRPr="00E84D59">
        <w:t xml:space="preserve">TriPM Boldness and </w:t>
      </w:r>
      <w:r w:rsidR="0021461A" w:rsidRPr="00E84D59">
        <w:t xml:space="preserve">PPI-R </w:t>
      </w:r>
      <w:r w:rsidR="00AD1E32">
        <w:t>FD</w:t>
      </w:r>
      <w:r w:rsidR="003B6CD3" w:rsidRPr="00E84D59">
        <w:t xml:space="preserve"> manifested small </w:t>
      </w:r>
      <w:r w:rsidR="005E1478" w:rsidRPr="00E84D59">
        <w:t>and large</w:t>
      </w:r>
      <w:r w:rsidR="0021461A" w:rsidRPr="00E84D59">
        <w:t xml:space="preserve"> </w:t>
      </w:r>
      <w:r w:rsidR="003B6CD3" w:rsidRPr="00E84D59">
        <w:t>positive relations</w:t>
      </w:r>
      <w:r w:rsidR="00691E77">
        <w:t xml:space="preserve"> </w:t>
      </w:r>
      <w:r w:rsidR="003B6CD3" w:rsidRPr="00E84D59">
        <w:t>with ISOS-P</w:t>
      </w:r>
      <w:r w:rsidR="00191237" w:rsidRPr="00E84D59">
        <w:t>R</w:t>
      </w:r>
      <w:r w:rsidR="003B6CD3" w:rsidRPr="00E84D59">
        <w:t xml:space="preserve"> Attitudes and Behaviors</w:t>
      </w:r>
      <w:r w:rsidR="00691E77">
        <w:t>, respectively</w:t>
      </w:r>
      <w:r w:rsidR="003B6CD3" w:rsidRPr="00E84D59">
        <w:t xml:space="preserve"> (</w:t>
      </w:r>
      <w:r w:rsidR="003B6CD3" w:rsidRPr="00E84D59">
        <w:rPr>
          <w:i/>
        </w:rPr>
        <w:t>r</w:t>
      </w:r>
      <w:r w:rsidR="003B6CD3" w:rsidRPr="00E84D59">
        <w:t>s ranged from .1</w:t>
      </w:r>
      <w:r w:rsidR="00DA112C">
        <w:t>2</w:t>
      </w:r>
      <w:r w:rsidR="003B6CD3" w:rsidRPr="00E84D59">
        <w:t xml:space="preserve"> to .38</w:t>
      </w:r>
      <w:r w:rsidR="00FB1CE8">
        <w:t>)</w:t>
      </w:r>
      <w:r w:rsidR="00691E77">
        <w:t xml:space="preserve">; </w:t>
      </w:r>
      <w:r w:rsidR="00102A96" w:rsidRPr="00E84D59">
        <w:t xml:space="preserve">relations with </w:t>
      </w:r>
      <w:r w:rsidR="0021461A" w:rsidRPr="00E84D59">
        <w:t xml:space="preserve">ISOS-PR </w:t>
      </w:r>
      <w:r w:rsidR="00102A96" w:rsidRPr="00E84D59">
        <w:t>B</w:t>
      </w:r>
      <w:r w:rsidR="003B6CD3" w:rsidRPr="00E84D59">
        <w:t xml:space="preserve">ehaviors were significantly </w:t>
      </w:r>
      <w:r w:rsidR="00102A96" w:rsidRPr="00E84D59">
        <w:t xml:space="preserve">more pronounced than those for </w:t>
      </w:r>
      <w:r w:rsidR="0021461A" w:rsidRPr="00E84D59">
        <w:t xml:space="preserve">ISOS-PR </w:t>
      </w:r>
      <w:r w:rsidR="00102A96" w:rsidRPr="00E84D59">
        <w:t>A</w:t>
      </w:r>
      <w:r w:rsidR="003B6CD3" w:rsidRPr="00E84D59">
        <w:t>ttitudes (</w:t>
      </w:r>
      <w:r w:rsidR="0021461A" w:rsidRPr="00E84D59">
        <w:t xml:space="preserve">Steiger’s </w:t>
      </w:r>
      <w:r w:rsidR="003B6CD3" w:rsidRPr="00E84D59">
        <w:t xml:space="preserve">Zs </w:t>
      </w:r>
      <w:r w:rsidR="008666C2" w:rsidRPr="00E84D59">
        <w:t xml:space="preserve">= </w:t>
      </w:r>
      <w:r w:rsidR="003B6CD3" w:rsidRPr="00E84D59">
        <w:t>-2.</w:t>
      </w:r>
      <w:r w:rsidR="00EF5377">
        <w:t>74</w:t>
      </w:r>
      <w:r w:rsidR="003B6CD3" w:rsidRPr="00E84D59">
        <w:t xml:space="preserve"> &amp; -3.</w:t>
      </w:r>
      <w:r w:rsidR="00EF5377">
        <w:t>55</w:t>
      </w:r>
      <w:r w:rsidR="003B6CD3" w:rsidRPr="00E84D59">
        <w:t xml:space="preserve">, </w:t>
      </w:r>
      <w:r w:rsidR="003B6CD3" w:rsidRPr="00E84D59">
        <w:rPr>
          <w:i/>
        </w:rPr>
        <w:t>p</w:t>
      </w:r>
      <w:r w:rsidR="003B6CD3" w:rsidRPr="00E84D59">
        <w:t xml:space="preserve">s&lt;.01). </w:t>
      </w:r>
      <w:r w:rsidRPr="00E84D59">
        <w:t xml:space="preserve">PPI-R </w:t>
      </w:r>
      <w:r w:rsidR="004219EA" w:rsidRPr="00E84D59">
        <w:t xml:space="preserve">C </w:t>
      </w:r>
      <w:r w:rsidRPr="00E84D59">
        <w:t xml:space="preserve">manifested </w:t>
      </w:r>
      <w:r w:rsidR="005E1478" w:rsidRPr="00E84D59">
        <w:t>moderate to large</w:t>
      </w:r>
      <w:r w:rsidRPr="00E84D59">
        <w:t xml:space="preserve"> relations with ISOS</w:t>
      </w:r>
      <w:r w:rsidR="00B74049" w:rsidRPr="00E84D59">
        <w:t>-P</w:t>
      </w:r>
      <w:r w:rsidR="000D631E" w:rsidRPr="00E84D59">
        <w:t>R</w:t>
      </w:r>
      <w:r w:rsidRPr="00E84D59">
        <w:t xml:space="preserve"> Attitudes and </w:t>
      </w:r>
      <w:r w:rsidR="00DA112C">
        <w:t>significantly smaller</w:t>
      </w:r>
      <w:r w:rsidRPr="00E84D59">
        <w:t xml:space="preserve"> relations with ISOS</w:t>
      </w:r>
      <w:r w:rsidR="00B74049" w:rsidRPr="00E84D59">
        <w:t>-P</w:t>
      </w:r>
      <w:r w:rsidR="00191237" w:rsidRPr="00E84D59">
        <w:t>R</w:t>
      </w:r>
      <w:r w:rsidRPr="00E84D59">
        <w:t xml:space="preserve"> Behaviors (</w:t>
      </w:r>
      <w:r w:rsidR="0021461A" w:rsidRPr="00E84D59">
        <w:t xml:space="preserve">Steiger’s </w:t>
      </w:r>
      <w:r w:rsidRPr="00E84D59">
        <w:t>Z = 7.9</w:t>
      </w:r>
      <w:r w:rsidR="00EF5377">
        <w:t>4</w:t>
      </w:r>
      <w:r w:rsidRPr="00E84D59">
        <w:t xml:space="preserve">, </w:t>
      </w:r>
      <w:r w:rsidRPr="00E84D59">
        <w:rPr>
          <w:i/>
        </w:rPr>
        <w:t>p</w:t>
      </w:r>
      <w:r w:rsidRPr="00E84D59">
        <w:t>&lt;.001).</w:t>
      </w:r>
      <w:r w:rsidR="004534DE" w:rsidRPr="00E84D59">
        <w:t xml:space="preserve"> </w:t>
      </w:r>
    </w:p>
    <w:p w14:paraId="0766A960" w14:textId="4F2317AB" w:rsidR="000F0B68" w:rsidRPr="00E84D59" w:rsidRDefault="00DA112C" w:rsidP="0062284B">
      <w:pPr>
        <w:spacing w:line="480" w:lineRule="auto"/>
        <w:ind w:firstLine="720"/>
      </w:pPr>
      <w:r>
        <w:t>Furthermore, r</w:t>
      </w:r>
      <w:r w:rsidR="00980AE3" w:rsidRPr="00E84D59">
        <w:t xml:space="preserve">elations </w:t>
      </w:r>
      <w:r w:rsidR="004534DE" w:rsidRPr="00E84D59">
        <w:t xml:space="preserve">between </w:t>
      </w:r>
      <w:r w:rsidR="00980AE3" w:rsidRPr="00E84D59">
        <w:t>TriPM Meanness</w:t>
      </w:r>
      <w:r w:rsidR="004534DE" w:rsidRPr="00E84D59">
        <w:t xml:space="preserve"> and </w:t>
      </w:r>
      <w:r w:rsidR="0021461A" w:rsidRPr="00E84D59">
        <w:t xml:space="preserve">the ISOS-PR factors </w:t>
      </w:r>
      <w:r w:rsidR="00980AE3" w:rsidRPr="00E84D59">
        <w:t xml:space="preserve">were significantly </w:t>
      </w:r>
      <w:r>
        <w:t>larger</w:t>
      </w:r>
      <w:r w:rsidR="00980AE3" w:rsidRPr="00E84D59">
        <w:t xml:space="preserve"> than those </w:t>
      </w:r>
      <w:r>
        <w:t>between</w:t>
      </w:r>
      <w:r w:rsidRPr="00E84D59">
        <w:t xml:space="preserve"> </w:t>
      </w:r>
      <w:r w:rsidR="00980AE3" w:rsidRPr="00E84D59">
        <w:t xml:space="preserve">PPI-R </w:t>
      </w:r>
      <w:r w:rsidR="004219EA" w:rsidRPr="00E84D59">
        <w:t xml:space="preserve">C </w:t>
      </w:r>
      <w:r>
        <w:t xml:space="preserve">and the ISOS-PR factors </w:t>
      </w:r>
      <w:r w:rsidR="00F42712" w:rsidRPr="00E84D59">
        <w:t>(</w:t>
      </w:r>
      <w:r w:rsidR="0021461A" w:rsidRPr="00E84D59">
        <w:t xml:space="preserve">Steiger’s </w:t>
      </w:r>
      <w:r w:rsidR="00F42712" w:rsidRPr="00E84D59">
        <w:t>Zs ranged from 6.</w:t>
      </w:r>
      <w:r w:rsidR="00EF5377">
        <w:t>38</w:t>
      </w:r>
      <w:r w:rsidR="00F42712" w:rsidRPr="00E84D59">
        <w:t xml:space="preserve"> to 12.37, </w:t>
      </w:r>
      <w:r w:rsidR="00F42712" w:rsidRPr="00E84D59">
        <w:rPr>
          <w:i/>
        </w:rPr>
        <w:t>p</w:t>
      </w:r>
      <w:r w:rsidR="00F42712" w:rsidRPr="00E84D59">
        <w:t>s&lt;.001)</w:t>
      </w:r>
      <w:r w:rsidR="00225AF4" w:rsidRPr="00E84D59">
        <w:t xml:space="preserve">. </w:t>
      </w:r>
      <w:r w:rsidR="007E388D" w:rsidRPr="00E84D59">
        <w:t>Given</w:t>
      </w:r>
      <w:r w:rsidR="0021461A" w:rsidRPr="00E84D59">
        <w:t xml:space="preserve"> that</w:t>
      </w:r>
      <w:r w:rsidR="007E388D" w:rsidRPr="00E84D59">
        <w:t xml:space="preserve"> theory depicts </w:t>
      </w:r>
      <w:r w:rsidR="00906ED5" w:rsidRPr="00E84D59">
        <w:t>perpetrators of sexual objectification as cold</w:t>
      </w:r>
      <w:r w:rsidR="00644CFA" w:rsidRPr="00E84D59">
        <w:t>hearted</w:t>
      </w:r>
      <w:r w:rsidR="0021461A" w:rsidRPr="00E84D59">
        <w:t xml:space="preserve"> “sexual solipsists” (e.g., Langton, 2009)</w:t>
      </w:r>
      <w:r w:rsidR="00644CFA" w:rsidRPr="00E84D59">
        <w:t>,</w:t>
      </w:r>
      <w:r w:rsidR="0021461A" w:rsidRPr="00E84D59">
        <w:t xml:space="preserve"> </w:t>
      </w:r>
      <w:r w:rsidR="0002421F" w:rsidRPr="00E84D59">
        <w:t>we</w:t>
      </w:r>
      <w:r w:rsidR="00C32F63" w:rsidRPr="00E84D59">
        <w:t xml:space="preserve"> </w:t>
      </w:r>
      <w:r w:rsidR="00644CFA" w:rsidRPr="00E84D59">
        <w:t xml:space="preserve">followed up on this lattermost result and </w:t>
      </w:r>
      <w:r w:rsidR="00176192" w:rsidRPr="00E84D59">
        <w:t>conducted</w:t>
      </w:r>
      <w:r w:rsidR="00C32F63" w:rsidRPr="00E84D59">
        <w:t xml:space="preserve"> exploratory analyses </w:t>
      </w:r>
      <w:r w:rsidR="00176192" w:rsidRPr="00E84D59">
        <w:t xml:space="preserve">concerning differences across TriPM Meanness and PPI-R </w:t>
      </w:r>
      <w:r w:rsidR="004219EA" w:rsidRPr="00E84D59">
        <w:t>C</w:t>
      </w:r>
      <w:r w:rsidR="00C32F63" w:rsidRPr="00E84D59">
        <w:t xml:space="preserve">. </w:t>
      </w:r>
      <w:r w:rsidR="00775C1D">
        <w:t>Simultaneous regressions in which TriPM Meanness and PPI-R C were entered together</w:t>
      </w:r>
      <w:r w:rsidR="00225AF4" w:rsidRPr="00E84D59">
        <w:t xml:space="preserve"> </w:t>
      </w:r>
      <w:r w:rsidR="00605EF4" w:rsidRPr="00E84D59">
        <w:t xml:space="preserve">revealed </w:t>
      </w:r>
      <w:r w:rsidR="00934630" w:rsidRPr="00E84D59">
        <w:t xml:space="preserve">that TriPM Meanness’ partial </w:t>
      </w:r>
      <w:r w:rsidR="00A37B6C">
        <w:t>associations with</w:t>
      </w:r>
      <w:r w:rsidR="00934630" w:rsidRPr="00E84D59">
        <w:t xml:space="preserve"> both </w:t>
      </w:r>
      <w:r w:rsidR="00194190" w:rsidRPr="00E84D59">
        <w:t>ISOS-P</w:t>
      </w:r>
      <w:r w:rsidR="00191237" w:rsidRPr="00E84D59">
        <w:t>R</w:t>
      </w:r>
      <w:r w:rsidR="00194190" w:rsidRPr="00E84D59">
        <w:t xml:space="preserve"> Attitudes and Behaviors remained robust and positive (</w:t>
      </w:r>
      <w:r w:rsidR="00790391" w:rsidRPr="00E84D59">
        <w:t>ßs</w:t>
      </w:r>
      <w:r w:rsidR="00194190" w:rsidRPr="00E84D59">
        <w:t xml:space="preserve"> were .71 and .66, respectively</w:t>
      </w:r>
      <w:r w:rsidR="00605EF4" w:rsidRPr="00E84D59">
        <w:t xml:space="preserve">, </w:t>
      </w:r>
      <w:r w:rsidR="00605EF4" w:rsidRPr="00E84D59">
        <w:rPr>
          <w:i/>
        </w:rPr>
        <w:t>ps</w:t>
      </w:r>
      <w:r w:rsidR="00605EF4" w:rsidRPr="00E84D59">
        <w:t>&lt;.001</w:t>
      </w:r>
      <w:r w:rsidR="00194190" w:rsidRPr="00E84D59">
        <w:t>)</w:t>
      </w:r>
      <w:r w:rsidR="00934630" w:rsidRPr="00E84D59">
        <w:t xml:space="preserve">, whereas PPI-R </w:t>
      </w:r>
      <w:r w:rsidR="004219EA" w:rsidRPr="00E84D59">
        <w:t xml:space="preserve">C’s </w:t>
      </w:r>
      <w:r w:rsidR="00934630" w:rsidRPr="00E84D59">
        <w:lastRenderedPageBreak/>
        <w:t xml:space="preserve">partial correlations were nonsignificant for Attitudes </w:t>
      </w:r>
      <w:r w:rsidR="00194190" w:rsidRPr="00E84D59">
        <w:t>(</w:t>
      </w:r>
      <w:r w:rsidR="00790391" w:rsidRPr="00E84D59">
        <w:t>ß</w:t>
      </w:r>
      <w:r w:rsidR="00194190" w:rsidRPr="00E84D59">
        <w:rPr>
          <w:i/>
        </w:rPr>
        <w:t xml:space="preserve"> </w:t>
      </w:r>
      <w:r w:rsidR="00194190" w:rsidRPr="00E84D59">
        <w:t>= .00</w:t>
      </w:r>
      <w:r w:rsidR="00605EF4" w:rsidRPr="00E84D59">
        <w:t xml:space="preserve">, </w:t>
      </w:r>
      <w:r w:rsidR="00605EF4" w:rsidRPr="00E84D59">
        <w:rPr>
          <w:i/>
        </w:rPr>
        <w:t>p</w:t>
      </w:r>
      <w:r w:rsidR="00605EF4" w:rsidRPr="00E84D59">
        <w:t xml:space="preserve"> = .97</w:t>
      </w:r>
      <w:r w:rsidR="00194190" w:rsidRPr="00E84D59">
        <w:t xml:space="preserve">) </w:t>
      </w:r>
      <w:r w:rsidR="00934630" w:rsidRPr="00E84D59">
        <w:t>and negative</w:t>
      </w:r>
      <w:r w:rsidR="00194190" w:rsidRPr="00E84D59">
        <w:t xml:space="preserve"> and significant</w:t>
      </w:r>
      <w:r w:rsidR="00934630" w:rsidRPr="00E84D59">
        <w:t xml:space="preserve"> for Behaviors</w:t>
      </w:r>
      <w:r w:rsidR="00194190" w:rsidRPr="00E84D59">
        <w:t xml:space="preserve"> (</w:t>
      </w:r>
      <w:r w:rsidR="00790391" w:rsidRPr="00E84D59">
        <w:t>ß</w:t>
      </w:r>
      <w:r w:rsidR="00194190" w:rsidRPr="00E84D59">
        <w:rPr>
          <w:i/>
        </w:rPr>
        <w:t xml:space="preserve"> </w:t>
      </w:r>
      <w:r w:rsidR="00194190" w:rsidRPr="00E84D59">
        <w:t xml:space="preserve">= </w:t>
      </w:r>
      <w:r w:rsidR="00605EF4" w:rsidRPr="00E84D59">
        <w:t xml:space="preserve">-.16, </w:t>
      </w:r>
      <w:r w:rsidR="00605EF4" w:rsidRPr="00E84D59">
        <w:rPr>
          <w:i/>
        </w:rPr>
        <w:t>p</w:t>
      </w:r>
      <w:r w:rsidR="00605EF4" w:rsidRPr="00E84D59">
        <w:t xml:space="preserve"> = .001). </w:t>
      </w:r>
    </w:p>
    <w:p w14:paraId="60DD449F" w14:textId="68F711CD" w:rsidR="004219EA" w:rsidRPr="00E84D59" w:rsidRDefault="00D02BD1" w:rsidP="00F62B31">
      <w:pPr>
        <w:spacing w:line="480" w:lineRule="auto"/>
        <w:ind w:firstLine="720"/>
      </w:pPr>
      <w:r>
        <w:t>W</w:t>
      </w:r>
      <w:r w:rsidR="007C1D02" w:rsidRPr="00E84D59">
        <w:t xml:space="preserve">hen </w:t>
      </w:r>
      <w:r w:rsidR="0067012E">
        <w:t>the TriPM</w:t>
      </w:r>
      <w:r w:rsidR="00C05115">
        <w:t xml:space="preserve"> subscales were entered</w:t>
      </w:r>
      <w:r w:rsidR="007C1D02" w:rsidRPr="00E84D59">
        <w:t xml:space="preserve"> simultaneously </w:t>
      </w:r>
      <w:r w:rsidR="00191237" w:rsidRPr="00E84D59">
        <w:t xml:space="preserve">as predictors of </w:t>
      </w:r>
      <w:r w:rsidR="00765F91">
        <w:t xml:space="preserve">either </w:t>
      </w:r>
      <w:r w:rsidR="007C1D02" w:rsidRPr="00E84D59">
        <w:t xml:space="preserve">Attitudes </w:t>
      </w:r>
      <w:r w:rsidR="00765F91">
        <w:t>or</w:t>
      </w:r>
      <w:r w:rsidR="00765F91" w:rsidRPr="00E84D59">
        <w:t xml:space="preserve"> </w:t>
      </w:r>
      <w:r w:rsidR="007C1D02" w:rsidRPr="00E84D59">
        <w:t>Behaviors</w:t>
      </w:r>
      <w:r w:rsidR="00765F91">
        <w:t>,</w:t>
      </w:r>
      <w:r w:rsidR="005E4312" w:rsidRPr="00E84D59">
        <w:t xml:space="preserve"> </w:t>
      </w:r>
      <w:r w:rsidR="009908B7" w:rsidRPr="00E84D59">
        <w:t xml:space="preserve">relations for </w:t>
      </w:r>
      <w:r w:rsidR="00AA4143" w:rsidRPr="00E84D59">
        <w:t xml:space="preserve">TriPM Meanness and TriPM Disinhibition </w:t>
      </w:r>
      <w:r w:rsidR="009908B7" w:rsidRPr="00E84D59">
        <w:t xml:space="preserve">became smaller but </w:t>
      </w:r>
      <w:r w:rsidR="00AA4143" w:rsidRPr="00E84D59">
        <w:t>rem</w:t>
      </w:r>
      <w:r w:rsidR="009908B7" w:rsidRPr="00E84D59">
        <w:t>ained significant (ßs ranged from .27 to .49</w:t>
      </w:r>
      <w:r w:rsidR="005E4312" w:rsidRPr="00E84D59">
        <w:t xml:space="preserve">), </w:t>
      </w:r>
      <w:r w:rsidR="00011646" w:rsidRPr="00E84D59">
        <w:t xml:space="preserve">with those for TriPM Meanness being the larger in both cases, </w:t>
      </w:r>
      <w:r w:rsidR="005E4312" w:rsidRPr="00E84D59">
        <w:t xml:space="preserve">whereas </w:t>
      </w:r>
      <w:r w:rsidR="009908B7" w:rsidRPr="00E84D59">
        <w:t xml:space="preserve">relations for TriPM Boldness </w:t>
      </w:r>
      <w:r w:rsidR="00837E78" w:rsidRPr="00E84D59">
        <w:t>went</w:t>
      </w:r>
      <w:r w:rsidR="009908B7" w:rsidRPr="00E84D59">
        <w:t xml:space="preserve"> </w:t>
      </w:r>
      <w:r w:rsidR="005E4312" w:rsidRPr="00E84D59">
        <w:t xml:space="preserve">largely </w:t>
      </w:r>
      <w:r w:rsidR="009908B7" w:rsidRPr="00E84D59">
        <w:t xml:space="preserve">unchanged. </w:t>
      </w:r>
      <w:r w:rsidR="00691E77">
        <w:t xml:space="preserve">When PPI-R subscales were entered into the model simultaneously, </w:t>
      </w:r>
      <w:r w:rsidR="009908B7" w:rsidRPr="00E84D59">
        <w:t xml:space="preserve">unique relations for PPI-R </w:t>
      </w:r>
      <w:r w:rsidR="004219EA" w:rsidRPr="00E84D59">
        <w:t>SCI</w:t>
      </w:r>
      <w:r w:rsidR="005E4312" w:rsidRPr="00E84D59">
        <w:t xml:space="preserve"> </w:t>
      </w:r>
      <w:r w:rsidR="00011646" w:rsidRPr="00E84D59">
        <w:t>were</w:t>
      </w:r>
      <w:r w:rsidR="005E4312" w:rsidRPr="00E84D59">
        <w:t xml:space="preserve"> large and significant, whereas those for PPI-R </w:t>
      </w:r>
      <w:r w:rsidR="004219EA" w:rsidRPr="00E84D59">
        <w:t>C</w:t>
      </w:r>
      <w:r w:rsidR="005E4312" w:rsidRPr="00E84D59">
        <w:t xml:space="preserve"> and PPI-R </w:t>
      </w:r>
      <w:r w:rsidR="004219EA" w:rsidRPr="00E84D59">
        <w:t>FD</w:t>
      </w:r>
      <w:r w:rsidR="005E4312" w:rsidRPr="00E84D59">
        <w:t xml:space="preserve"> were reduced</w:t>
      </w:r>
      <w:r w:rsidR="00011646" w:rsidRPr="00E84D59">
        <w:t xml:space="preserve"> </w:t>
      </w:r>
      <w:r w:rsidR="005E4312" w:rsidRPr="00E84D59">
        <w:t xml:space="preserve">(ßs from -.05 to .23). </w:t>
      </w:r>
    </w:p>
    <w:p w14:paraId="23C242C7" w14:textId="6897AB6E" w:rsidR="00375456" w:rsidRDefault="00980AE3" w:rsidP="004A6D62">
      <w:pPr>
        <w:spacing w:line="480" w:lineRule="auto"/>
        <w:ind w:firstLine="720"/>
      </w:pPr>
      <w:r w:rsidRPr="00E84D59">
        <w:rPr>
          <w:b/>
        </w:rPr>
        <w:t xml:space="preserve">Aim 2b: Psychopathy as a moderator of the attitudes-behavior link. </w:t>
      </w:r>
      <w:r w:rsidRPr="00E84D59">
        <w:rPr>
          <w:rStyle w:val="s3"/>
        </w:rPr>
        <w:t>We</w:t>
      </w:r>
      <w:r w:rsidR="000F5E57" w:rsidRPr="00E84D59">
        <w:rPr>
          <w:rStyle w:val="s3"/>
        </w:rPr>
        <w:t xml:space="preserve"> </w:t>
      </w:r>
      <w:r w:rsidRPr="00E84D59">
        <w:rPr>
          <w:rStyle w:val="s3"/>
        </w:rPr>
        <w:t>conducted moderation analyses</w:t>
      </w:r>
      <w:r w:rsidR="00545962">
        <w:rPr>
          <w:rStyle w:val="s3"/>
        </w:rPr>
        <w:t xml:space="preserve"> by</w:t>
      </w:r>
      <w:r w:rsidRPr="00E84D59">
        <w:rPr>
          <w:rStyle w:val="s3"/>
        </w:rPr>
        <w:t xml:space="preserve"> entering</w:t>
      </w:r>
      <w:r w:rsidRPr="00E84D59">
        <w:t xml:space="preserve"> the </w:t>
      </w:r>
      <w:r w:rsidR="00591988">
        <w:t xml:space="preserve">mean centered </w:t>
      </w:r>
      <w:r w:rsidRPr="00E84D59">
        <w:t xml:space="preserve">multiplicative (interaction) term </w:t>
      </w:r>
      <w:r w:rsidR="003E0B1B">
        <w:t>for</w:t>
      </w:r>
      <w:r w:rsidR="003E0B1B" w:rsidRPr="00E84D59">
        <w:t xml:space="preserve"> </w:t>
      </w:r>
      <w:r w:rsidRPr="00E84D59">
        <w:t>each psychopathy subdimension and ISOS</w:t>
      </w:r>
      <w:r w:rsidR="003D6388" w:rsidRPr="00E84D59">
        <w:t>-P</w:t>
      </w:r>
      <w:r w:rsidR="00191237" w:rsidRPr="00E84D59">
        <w:t>R</w:t>
      </w:r>
      <w:r w:rsidRPr="00E84D59">
        <w:t xml:space="preserve"> Attitudes following </w:t>
      </w:r>
      <w:r w:rsidR="003E0B1B">
        <w:t xml:space="preserve">their </w:t>
      </w:r>
      <w:r w:rsidRPr="00E84D59">
        <w:t>main effects</w:t>
      </w:r>
      <w:r w:rsidR="006F2BA4" w:rsidRPr="00E84D59">
        <w:t>. C</w:t>
      </w:r>
      <w:r w:rsidRPr="00E84D59">
        <w:t xml:space="preserve">onfidence intervals </w:t>
      </w:r>
      <w:r w:rsidR="00DA112C">
        <w:t xml:space="preserve">(95%) </w:t>
      </w:r>
      <w:r w:rsidRPr="00E84D59">
        <w:t>were generated using 5000 bootstrapped samples.</w:t>
      </w:r>
      <w:r w:rsidRPr="00E84D59">
        <w:rPr>
          <w:i/>
        </w:rPr>
        <w:t xml:space="preserve"> </w:t>
      </w:r>
      <w:r w:rsidR="00DA112C">
        <w:t>Three</w:t>
      </w:r>
      <w:r w:rsidR="00375456">
        <w:t xml:space="preserve"> of the </w:t>
      </w:r>
      <w:r w:rsidR="00DA112C">
        <w:t xml:space="preserve">six </w:t>
      </w:r>
      <w:r w:rsidR="00375456">
        <w:t>hypothesized interactions</w:t>
      </w:r>
      <w:r w:rsidR="00277997">
        <w:t xml:space="preserve"> </w:t>
      </w:r>
      <w:r w:rsidR="00DA112C">
        <w:t>were</w:t>
      </w:r>
      <w:r w:rsidR="00277997">
        <w:t xml:space="preserve"> significant</w:t>
      </w:r>
      <w:r w:rsidR="00DA112C">
        <w:t>, albeit with small effect sizes</w:t>
      </w:r>
      <w:r w:rsidR="00277997">
        <w:t xml:space="preserve"> (</w:t>
      </w:r>
      <w:r w:rsidR="00DA112C">
        <w:t xml:space="preserve">average </w:t>
      </w:r>
      <w:r w:rsidR="00DA112C" w:rsidRPr="00E013B7">
        <w:t>ΔR</w:t>
      </w:r>
      <w:r w:rsidR="00DA112C" w:rsidRPr="00E013B7">
        <w:rPr>
          <w:vertAlign w:val="superscript"/>
        </w:rPr>
        <w:t>2</w:t>
      </w:r>
      <w:r w:rsidR="00DA112C">
        <w:t xml:space="preserve"> = .004, </w:t>
      </w:r>
      <w:r w:rsidR="00DA112C">
        <w:rPr>
          <w:i/>
        </w:rPr>
        <w:t>p</w:t>
      </w:r>
      <w:r w:rsidR="00DA112C">
        <w:t xml:space="preserve">s &lt; .05; </w:t>
      </w:r>
      <w:r w:rsidR="00277997">
        <w:t>full results</w:t>
      </w:r>
      <w:r w:rsidR="00941D80">
        <w:t xml:space="preserve"> presented in Table S13</w:t>
      </w:r>
      <w:r w:rsidR="00277997">
        <w:t>)</w:t>
      </w:r>
      <w:r w:rsidR="00D10743">
        <w:t>;</w:t>
      </w:r>
      <w:r w:rsidR="00DA112C">
        <w:t xml:space="preserve"> as predicted,</w:t>
      </w:r>
      <w:r w:rsidR="00D10743">
        <w:t xml:space="preserve"> </w:t>
      </w:r>
      <w:r w:rsidR="00277997">
        <w:t>ISOS-PR</w:t>
      </w:r>
      <w:r w:rsidR="00375456">
        <w:t xml:space="preserve"> Attitudes</w:t>
      </w:r>
      <w:r w:rsidR="00DA112C">
        <w:t>, on the one hand,</w:t>
      </w:r>
      <w:r w:rsidR="00375456">
        <w:t xml:space="preserve"> and TriPM Meanness</w:t>
      </w:r>
      <w:r w:rsidR="00DA112C">
        <w:t>, TriPM Disinhibition, and PPI-R SCI, on the other,</w:t>
      </w:r>
      <w:r w:rsidR="00277997">
        <w:t xml:space="preserve"> interacted in a potentiating manner</w:t>
      </w:r>
      <w:r w:rsidR="005658B0">
        <w:t>, such that individuals who hold ISOP attitudes and are high in psychopathy were more likely to engage in ISOP behaviors</w:t>
      </w:r>
      <w:r w:rsidR="00FB1CE8">
        <w:t xml:space="preserve"> (see Figure S1)</w:t>
      </w:r>
      <w:r w:rsidR="005658B0">
        <w:t xml:space="preserve">. </w:t>
      </w:r>
      <w:r w:rsidR="00277997">
        <w:t xml:space="preserve"> </w:t>
      </w:r>
    </w:p>
    <w:p w14:paraId="7206B821" w14:textId="4124ACE1" w:rsidR="00414C99" w:rsidRPr="005A4B2D" w:rsidRDefault="00086CA5" w:rsidP="0072754C">
      <w:pPr>
        <w:spacing w:line="480" w:lineRule="auto"/>
      </w:pPr>
      <w:r>
        <w:tab/>
      </w:r>
      <w:r w:rsidR="006D393F">
        <w:rPr>
          <w:b/>
        </w:rPr>
        <w:t>Aim 3</w:t>
      </w:r>
      <w:r>
        <w:rPr>
          <w:b/>
        </w:rPr>
        <w:t xml:space="preserve">: Gender as a moderator of the psychopathy-ISOP link. </w:t>
      </w:r>
      <w:r>
        <w:t xml:space="preserve">Following similar analytic procedures, we examined </w:t>
      </w:r>
      <w:r w:rsidR="00C25583">
        <w:t xml:space="preserve">the </w:t>
      </w:r>
      <w:r w:rsidR="006D393F">
        <w:t>extent to which gender moderates</w:t>
      </w:r>
      <w:r w:rsidR="00C25583">
        <w:t xml:space="preserve"> the associations between psychopathic traits and ISOP</w:t>
      </w:r>
      <w:r w:rsidR="00B24770">
        <w:t>.</w:t>
      </w:r>
      <w:r>
        <w:t xml:space="preserve"> </w:t>
      </w:r>
      <w:r w:rsidR="00DA112C">
        <w:t>Six</w:t>
      </w:r>
      <w:r w:rsidR="00E013B7">
        <w:t xml:space="preserve"> of the 12 hypothesized interactions </w:t>
      </w:r>
      <w:r w:rsidR="00DA112C">
        <w:t>were statistically significant</w:t>
      </w:r>
      <w:r w:rsidR="006D393F">
        <w:t>, all</w:t>
      </w:r>
      <w:r w:rsidR="00DA112C">
        <w:t xml:space="preserve"> in the predicted direction (average </w:t>
      </w:r>
      <w:r w:rsidR="00DA112C" w:rsidRPr="00E013B7">
        <w:t>ΔR</w:t>
      </w:r>
      <w:r w:rsidR="00DA112C" w:rsidRPr="00E013B7">
        <w:rPr>
          <w:vertAlign w:val="superscript"/>
        </w:rPr>
        <w:t>2</w:t>
      </w:r>
      <w:r w:rsidR="00DA112C">
        <w:t xml:space="preserve"> = .036, </w:t>
      </w:r>
      <w:r w:rsidR="00DA112C">
        <w:rPr>
          <w:i/>
        </w:rPr>
        <w:t>p</w:t>
      </w:r>
      <w:r w:rsidR="00DA112C">
        <w:t>s &lt; .0</w:t>
      </w:r>
      <w:r w:rsidR="006D393F">
        <w:t>5; full results in Table S12</w:t>
      </w:r>
      <w:r w:rsidR="00DA112C">
        <w:t>), such that</w:t>
      </w:r>
      <w:r w:rsidR="00D9183D">
        <w:t xml:space="preserve"> women exhibited stronger relations between (</w:t>
      </w:r>
      <w:r w:rsidR="000E3AF7">
        <w:t>a) ISOS-PR Attitudes, on the one hand, and PPI-R FD (</w:t>
      </w:r>
      <w:r w:rsidR="000E3AF7">
        <w:rPr>
          <w:i/>
        </w:rPr>
        <w:t>r</w:t>
      </w:r>
      <w:r w:rsidR="000E3AF7">
        <w:rPr>
          <w:vertAlign w:val="subscript"/>
        </w:rPr>
        <w:t xml:space="preserve">women </w:t>
      </w:r>
      <w:r w:rsidR="000E3AF7">
        <w:t>= .29, SE</w:t>
      </w:r>
      <w:r w:rsidR="000E3AF7" w:rsidRPr="00BE2E30">
        <w:rPr>
          <w:i/>
          <w:vertAlign w:val="subscript"/>
        </w:rPr>
        <w:t>r</w:t>
      </w:r>
      <w:r w:rsidR="000E3AF7">
        <w:rPr>
          <w:i/>
          <w:vertAlign w:val="subscript"/>
        </w:rPr>
        <w:t xml:space="preserve"> </w:t>
      </w:r>
      <w:r w:rsidR="000E3AF7">
        <w:t xml:space="preserve">= .06; </w:t>
      </w:r>
      <w:r w:rsidR="000E3AF7">
        <w:rPr>
          <w:i/>
        </w:rPr>
        <w:t>r</w:t>
      </w:r>
      <w:r w:rsidR="000E3AF7">
        <w:rPr>
          <w:vertAlign w:val="subscript"/>
        </w:rPr>
        <w:t xml:space="preserve">men </w:t>
      </w:r>
      <w:r w:rsidR="000E3AF7">
        <w:t>= .11, SE</w:t>
      </w:r>
      <w:r w:rsidR="000E3AF7" w:rsidRPr="006C5D6F">
        <w:rPr>
          <w:i/>
          <w:vertAlign w:val="subscript"/>
        </w:rPr>
        <w:t>r</w:t>
      </w:r>
      <w:r w:rsidR="000E3AF7">
        <w:rPr>
          <w:i/>
          <w:vertAlign w:val="subscript"/>
        </w:rPr>
        <w:t xml:space="preserve"> </w:t>
      </w:r>
      <w:r w:rsidR="000E3AF7">
        <w:t>= .07) and TriPM Meanness (</w:t>
      </w:r>
      <w:r w:rsidR="000E3AF7">
        <w:rPr>
          <w:i/>
        </w:rPr>
        <w:t>r</w:t>
      </w:r>
      <w:r w:rsidR="000E3AF7">
        <w:rPr>
          <w:vertAlign w:val="subscript"/>
        </w:rPr>
        <w:t xml:space="preserve">women </w:t>
      </w:r>
      <w:r w:rsidR="000E3AF7">
        <w:t xml:space="preserve">= .70, </w:t>
      </w:r>
      <w:r w:rsidR="000E3AF7">
        <w:lastRenderedPageBreak/>
        <w:t>SE</w:t>
      </w:r>
      <w:r w:rsidR="000E3AF7" w:rsidRPr="00BE2E30">
        <w:rPr>
          <w:i/>
          <w:vertAlign w:val="subscript"/>
        </w:rPr>
        <w:t>r</w:t>
      </w:r>
      <w:r w:rsidR="000E3AF7">
        <w:rPr>
          <w:i/>
          <w:vertAlign w:val="subscript"/>
        </w:rPr>
        <w:t xml:space="preserve"> </w:t>
      </w:r>
      <w:r w:rsidR="000E3AF7">
        <w:t xml:space="preserve">= .05; </w:t>
      </w:r>
      <w:r w:rsidR="000E3AF7">
        <w:rPr>
          <w:i/>
        </w:rPr>
        <w:t>r</w:t>
      </w:r>
      <w:r w:rsidR="000E3AF7">
        <w:rPr>
          <w:vertAlign w:val="subscript"/>
        </w:rPr>
        <w:t xml:space="preserve">men </w:t>
      </w:r>
      <w:r w:rsidR="000E3AF7">
        <w:t>= .66, SE</w:t>
      </w:r>
      <w:r w:rsidR="000E3AF7" w:rsidRPr="00BE2E30">
        <w:rPr>
          <w:i/>
          <w:vertAlign w:val="subscript"/>
        </w:rPr>
        <w:t>r</w:t>
      </w:r>
      <w:r w:rsidR="000E3AF7">
        <w:rPr>
          <w:i/>
          <w:vertAlign w:val="subscript"/>
        </w:rPr>
        <w:t xml:space="preserve"> </w:t>
      </w:r>
      <w:r w:rsidR="000E3AF7">
        <w:t>= .05), on the other, and (b) ISOS-PR Behaviors, on the one hand, and PPI-R FD (</w:t>
      </w:r>
      <w:r w:rsidR="000E3AF7">
        <w:rPr>
          <w:i/>
        </w:rPr>
        <w:t>r</w:t>
      </w:r>
      <w:r w:rsidR="000E3AF7">
        <w:rPr>
          <w:vertAlign w:val="subscript"/>
        </w:rPr>
        <w:t xml:space="preserve">women </w:t>
      </w:r>
      <w:r w:rsidR="000E3AF7">
        <w:t>= .42, SE</w:t>
      </w:r>
      <w:r w:rsidR="000E3AF7" w:rsidRPr="00BE2E30">
        <w:rPr>
          <w:i/>
          <w:vertAlign w:val="subscript"/>
        </w:rPr>
        <w:t>r</w:t>
      </w:r>
      <w:r w:rsidR="000E3AF7">
        <w:rPr>
          <w:i/>
          <w:vertAlign w:val="subscript"/>
        </w:rPr>
        <w:t xml:space="preserve"> </w:t>
      </w:r>
      <w:r w:rsidR="000E3AF7">
        <w:t xml:space="preserve">= .06; </w:t>
      </w:r>
      <w:r w:rsidR="000E3AF7">
        <w:rPr>
          <w:i/>
        </w:rPr>
        <w:t>r</w:t>
      </w:r>
      <w:r w:rsidR="000E3AF7">
        <w:rPr>
          <w:vertAlign w:val="subscript"/>
        </w:rPr>
        <w:t xml:space="preserve">men </w:t>
      </w:r>
      <w:r w:rsidR="000E3AF7">
        <w:t>= .24, SE</w:t>
      </w:r>
      <w:r w:rsidR="000E3AF7" w:rsidRPr="00BE2E30">
        <w:rPr>
          <w:i/>
          <w:vertAlign w:val="subscript"/>
        </w:rPr>
        <w:t>r</w:t>
      </w:r>
      <w:r w:rsidR="000E3AF7">
        <w:rPr>
          <w:i/>
          <w:vertAlign w:val="subscript"/>
        </w:rPr>
        <w:t xml:space="preserve"> </w:t>
      </w:r>
      <w:r w:rsidR="000E3AF7">
        <w:t>= .07), PPI-R SCI (</w:t>
      </w:r>
      <w:r w:rsidR="000E3AF7">
        <w:rPr>
          <w:i/>
        </w:rPr>
        <w:t>r</w:t>
      </w:r>
      <w:r w:rsidR="000E3AF7">
        <w:rPr>
          <w:vertAlign w:val="subscript"/>
        </w:rPr>
        <w:t xml:space="preserve">women </w:t>
      </w:r>
      <w:r w:rsidR="000E3AF7">
        <w:t>= .75, SE</w:t>
      </w:r>
      <w:r w:rsidR="000E3AF7" w:rsidRPr="00BE2E30">
        <w:rPr>
          <w:i/>
          <w:vertAlign w:val="subscript"/>
        </w:rPr>
        <w:t>r</w:t>
      </w:r>
      <w:r w:rsidR="000E3AF7">
        <w:rPr>
          <w:i/>
          <w:vertAlign w:val="subscript"/>
        </w:rPr>
        <w:t xml:space="preserve"> </w:t>
      </w:r>
      <w:r w:rsidR="000E3AF7">
        <w:t xml:space="preserve">= .03; </w:t>
      </w:r>
      <w:r w:rsidR="000E3AF7">
        <w:rPr>
          <w:i/>
        </w:rPr>
        <w:t>r</w:t>
      </w:r>
      <w:r w:rsidR="000E3AF7">
        <w:rPr>
          <w:vertAlign w:val="subscript"/>
        </w:rPr>
        <w:t xml:space="preserve">men </w:t>
      </w:r>
      <w:r w:rsidR="000E3AF7">
        <w:t>= .63, SE</w:t>
      </w:r>
      <w:r w:rsidR="000E3AF7" w:rsidRPr="00BE2E30">
        <w:rPr>
          <w:i/>
          <w:vertAlign w:val="subscript"/>
        </w:rPr>
        <w:t>r</w:t>
      </w:r>
      <w:r w:rsidR="000E3AF7">
        <w:rPr>
          <w:i/>
          <w:vertAlign w:val="subscript"/>
        </w:rPr>
        <w:t xml:space="preserve"> </w:t>
      </w:r>
      <w:r w:rsidR="000E3AF7">
        <w:t>= .05), TriPM Meanness (</w:t>
      </w:r>
      <w:r w:rsidR="000E3AF7">
        <w:rPr>
          <w:i/>
        </w:rPr>
        <w:t>r</w:t>
      </w:r>
      <w:r w:rsidR="000E3AF7">
        <w:rPr>
          <w:vertAlign w:val="subscript"/>
        </w:rPr>
        <w:t xml:space="preserve">women </w:t>
      </w:r>
      <w:r w:rsidR="000E3AF7">
        <w:t>= .72, SE</w:t>
      </w:r>
      <w:r w:rsidR="000E3AF7" w:rsidRPr="00BE2E30">
        <w:rPr>
          <w:i/>
          <w:vertAlign w:val="subscript"/>
        </w:rPr>
        <w:t>r</w:t>
      </w:r>
      <w:r w:rsidR="000E3AF7">
        <w:rPr>
          <w:i/>
          <w:vertAlign w:val="subscript"/>
        </w:rPr>
        <w:t xml:space="preserve"> </w:t>
      </w:r>
      <w:r w:rsidR="000E3AF7">
        <w:t xml:space="preserve">= .04; </w:t>
      </w:r>
      <w:r w:rsidR="000E3AF7">
        <w:rPr>
          <w:i/>
        </w:rPr>
        <w:t>r</w:t>
      </w:r>
      <w:r w:rsidR="000E3AF7">
        <w:rPr>
          <w:vertAlign w:val="subscript"/>
        </w:rPr>
        <w:t xml:space="preserve">men </w:t>
      </w:r>
      <w:r w:rsidR="000E3AF7">
        <w:t>= .59, SE</w:t>
      </w:r>
      <w:r w:rsidR="000E3AF7" w:rsidRPr="00BE2E30">
        <w:rPr>
          <w:i/>
          <w:vertAlign w:val="subscript"/>
        </w:rPr>
        <w:t>r</w:t>
      </w:r>
      <w:r w:rsidR="000E3AF7">
        <w:rPr>
          <w:i/>
          <w:vertAlign w:val="subscript"/>
        </w:rPr>
        <w:t xml:space="preserve"> </w:t>
      </w:r>
      <w:r w:rsidR="000E3AF7">
        <w:t>= .05), and TriPM Disinhibition (</w:t>
      </w:r>
      <w:r w:rsidR="000E3AF7">
        <w:rPr>
          <w:i/>
        </w:rPr>
        <w:t>r</w:t>
      </w:r>
      <w:r w:rsidR="000E3AF7">
        <w:rPr>
          <w:vertAlign w:val="subscript"/>
        </w:rPr>
        <w:t xml:space="preserve">women </w:t>
      </w:r>
      <w:r w:rsidR="000E3AF7">
        <w:t>= .74, SE</w:t>
      </w:r>
      <w:r w:rsidR="000E3AF7" w:rsidRPr="00BE2E30">
        <w:rPr>
          <w:i/>
          <w:vertAlign w:val="subscript"/>
        </w:rPr>
        <w:t>r</w:t>
      </w:r>
      <w:r w:rsidR="000E3AF7">
        <w:rPr>
          <w:i/>
          <w:vertAlign w:val="subscript"/>
        </w:rPr>
        <w:t xml:space="preserve"> </w:t>
      </w:r>
      <w:r w:rsidR="000E3AF7">
        <w:t xml:space="preserve">= .04; </w:t>
      </w:r>
      <w:r w:rsidR="000E3AF7">
        <w:rPr>
          <w:i/>
        </w:rPr>
        <w:t>r</w:t>
      </w:r>
      <w:r w:rsidR="000E3AF7">
        <w:rPr>
          <w:vertAlign w:val="subscript"/>
        </w:rPr>
        <w:t xml:space="preserve">men </w:t>
      </w:r>
      <w:r w:rsidR="000E3AF7">
        <w:t>= .64, SE</w:t>
      </w:r>
      <w:r w:rsidR="000E3AF7" w:rsidRPr="00BE2E30">
        <w:rPr>
          <w:i/>
          <w:vertAlign w:val="subscript"/>
        </w:rPr>
        <w:t>r</w:t>
      </w:r>
      <w:r w:rsidR="000E3AF7">
        <w:rPr>
          <w:i/>
          <w:vertAlign w:val="subscript"/>
        </w:rPr>
        <w:t xml:space="preserve"> </w:t>
      </w:r>
      <w:r w:rsidR="000E3AF7">
        <w:t xml:space="preserve">= .04), on the other.  </w:t>
      </w:r>
    </w:p>
    <w:p w14:paraId="7F29445A" w14:textId="40269848" w:rsidR="00FC1F91" w:rsidRDefault="00D9183D" w:rsidP="00394391">
      <w:pPr>
        <w:spacing w:line="480" w:lineRule="auto"/>
      </w:pPr>
      <w:r>
        <w:tab/>
      </w:r>
      <w:r w:rsidR="006D393F">
        <w:rPr>
          <w:b/>
        </w:rPr>
        <w:t>Aim 4</w:t>
      </w:r>
      <w:r w:rsidR="00980AE3" w:rsidRPr="00E84D59">
        <w:rPr>
          <w:b/>
        </w:rPr>
        <w:t xml:space="preserve">: Specificity. </w:t>
      </w:r>
      <w:r w:rsidR="00980AE3" w:rsidRPr="00E84D59">
        <w:t xml:space="preserve">There was a </w:t>
      </w:r>
      <w:r w:rsidR="006F2BA4" w:rsidRPr="00E84D59">
        <w:t xml:space="preserve">relative </w:t>
      </w:r>
      <w:r w:rsidR="00980AE3" w:rsidRPr="00E84D59">
        <w:t xml:space="preserve">lack of specificity in the relations observed for </w:t>
      </w:r>
      <w:r w:rsidR="00176192" w:rsidRPr="00E84D59">
        <w:t xml:space="preserve">most </w:t>
      </w:r>
      <w:r w:rsidR="00980AE3" w:rsidRPr="00E84D59">
        <w:t>psychopathy subdimensions and ISOS</w:t>
      </w:r>
      <w:r w:rsidR="000F5E57" w:rsidRPr="00E84D59">
        <w:t>-P</w:t>
      </w:r>
      <w:r w:rsidR="000F20C0" w:rsidRPr="00E84D59">
        <w:t>R</w:t>
      </w:r>
      <w:r w:rsidR="00980AE3" w:rsidRPr="00E84D59">
        <w:t xml:space="preserve"> factors</w:t>
      </w:r>
      <w:r w:rsidR="008D0F3C" w:rsidRPr="00E84D59">
        <w:t>,</w:t>
      </w:r>
      <w:r w:rsidR="00980AE3" w:rsidRPr="00E84D59">
        <w:t xml:space="preserve"> such that most all other traits exhibited significant </w:t>
      </w:r>
      <w:r w:rsidR="006F2BA4" w:rsidRPr="00E84D59">
        <w:t>and moderate</w:t>
      </w:r>
      <w:r>
        <w:t xml:space="preserve"> </w:t>
      </w:r>
      <w:r w:rsidR="006F2BA4" w:rsidRPr="00E84D59">
        <w:t>to</w:t>
      </w:r>
      <w:r>
        <w:t xml:space="preserve"> </w:t>
      </w:r>
      <w:r w:rsidR="006F2BA4" w:rsidRPr="00E84D59">
        <w:t xml:space="preserve">large </w:t>
      </w:r>
      <w:r w:rsidR="00980AE3" w:rsidRPr="00E84D59">
        <w:t>associations with ISO</w:t>
      </w:r>
      <w:r w:rsidR="000F5E57" w:rsidRPr="00E84D59">
        <w:t>P</w:t>
      </w:r>
      <w:r w:rsidR="00980AE3" w:rsidRPr="00E84D59">
        <w:t xml:space="preserve"> (</w:t>
      </w:r>
      <w:r w:rsidR="00DA112C">
        <w:t xml:space="preserve">see </w:t>
      </w:r>
      <w:r w:rsidR="00980AE3" w:rsidRPr="00E84D59">
        <w:t>Tab</w:t>
      </w:r>
      <w:r w:rsidR="001D062E" w:rsidRPr="00E84D59">
        <w:t xml:space="preserve">le </w:t>
      </w:r>
      <w:r w:rsidR="00DA112C">
        <w:t>3</w:t>
      </w:r>
      <w:r w:rsidR="00980AE3" w:rsidRPr="00E84D59">
        <w:t>)</w:t>
      </w:r>
      <w:r w:rsidR="00CA3729">
        <w:t>. Moreover,</w:t>
      </w:r>
      <w:r w:rsidR="006F2BA4" w:rsidRPr="00E84D59" w:rsidDel="00CA3729">
        <w:t xml:space="preserve"> </w:t>
      </w:r>
      <w:r w:rsidR="00DA112C">
        <w:t>numerous</w:t>
      </w:r>
      <w:r w:rsidR="009A624D" w:rsidRPr="00E84D59">
        <w:t xml:space="preserve"> traits </w:t>
      </w:r>
      <w:r w:rsidR="00980AE3" w:rsidRPr="00E84D59">
        <w:t xml:space="preserve">exhibited relations of similar magnitude to </w:t>
      </w:r>
      <w:r w:rsidR="00A17D55" w:rsidRPr="00E84D59">
        <w:t xml:space="preserve">the </w:t>
      </w:r>
      <w:r w:rsidR="00980AE3" w:rsidRPr="00E84D59">
        <w:t>psychopathy subdimensions</w:t>
      </w:r>
      <w:r w:rsidR="006F2BA4" w:rsidRPr="00E84D59">
        <w:t xml:space="preserve">. </w:t>
      </w:r>
      <w:r w:rsidR="00DA112C" w:rsidRPr="00E84D59">
        <w:t>Given the large number of external criteria</w:t>
      </w:r>
      <w:r w:rsidR="00DA112C" w:rsidRPr="00E84D59">
        <w:rPr>
          <w:b/>
        </w:rPr>
        <w:t xml:space="preserve"> </w:t>
      </w:r>
      <w:r w:rsidR="00DA112C" w:rsidRPr="00E84D59">
        <w:t xml:space="preserve">presented, we </w:t>
      </w:r>
      <w:r w:rsidR="00DA112C">
        <w:t xml:space="preserve">will </w:t>
      </w:r>
      <w:r w:rsidR="00DA112C" w:rsidRPr="00E84D59">
        <w:t xml:space="preserve">describe the broad trends of these variables’ relations with ISOS-PR Attitudes and Behaviors based on zero-order correlations. </w:t>
      </w:r>
    </w:p>
    <w:p w14:paraId="20846750" w14:textId="6ED5BE56" w:rsidR="00DA112C" w:rsidRDefault="00AD1E32" w:rsidP="00DA112C">
      <w:pPr>
        <w:spacing w:line="480" w:lineRule="auto"/>
        <w:ind w:firstLine="720"/>
      </w:pPr>
      <w:r>
        <w:t xml:space="preserve">The </w:t>
      </w:r>
      <w:r w:rsidR="00DA112C" w:rsidRPr="00E84D59">
        <w:t xml:space="preserve">ISOS-PR exhibited moderate negative </w:t>
      </w:r>
      <w:r w:rsidR="00925966">
        <w:t xml:space="preserve">to small positive </w:t>
      </w:r>
      <w:r w:rsidR="00DA112C" w:rsidRPr="00E84D59">
        <w:t>associations with ACME Cognitive Empathy and HEXACO Emotionality (</w:t>
      </w:r>
      <w:r w:rsidR="00DA112C" w:rsidRPr="00E84D59">
        <w:rPr>
          <w:i/>
        </w:rPr>
        <w:t>r</w:t>
      </w:r>
      <w:r w:rsidR="00DA112C" w:rsidRPr="00E84D59">
        <w:t>s ranged from -.27 to -.12); moderate</w:t>
      </w:r>
      <w:r w:rsidR="00D9183D">
        <w:t xml:space="preserve"> </w:t>
      </w:r>
      <w:r w:rsidR="00DA112C" w:rsidRPr="00E84D59">
        <w:t>to</w:t>
      </w:r>
      <w:r w:rsidR="00D9183D">
        <w:t xml:space="preserve"> </w:t>
      </w:r>
      <w:r w:rsidR="00DA112C" w:rsidRPr="00E84D59">
        <w:t>large negative associations with HEXACO Agreeableness and HEXACO Openness (</w:t>
      </w:r>
      <w:r w:rsidR="00DA112C" w:rsidRPr="00E84D59">
        <w:rPr>
          <w:i/>
        </w:rPr>
        <w:t>r</w:t>
      </w:r>
      <w:r w:rsidR="00DA112C" w:rsidRPr="00E84D59">
        <w:t>s ranged from -.38 to -.22); and large negative associations with ACME Affective Resonance, ACME Affective Dissonance</w:t>
      </w:r>
      <w:r w:rsidR="00CA2BCA">
        <w:t xml:space="preserve">, </w:t>
      </w:r>
      <w:r w:rsidR="00DA112C" w:rsidRPr="00E84D59">
        <w:t>HEXACO Honesty-</w:t>
      </w:r>
      <w:r w:rsidR="00DA112C">
        <w:t>H</w:t>
      </w:r>
      <w:r w:rsidR="00DA112C" w:rsidRPr="00E84D59">
        <w:t>umility, and HEXACO Conscientiousness (</w:t>
      </w:r>
      <w:r w:rsidR="00DA112C" w:rsidRPr="00E84D59">
        <w:rPr>
          <w:i/>
        </w:rPr>
        <w:t>r</w:t>
      </w:r>
      <w:r w:rsidR="00DA112C" w:rsidRPr="00E84D59">
        <w:t>s ranged from -.76 to -.46). ISOS-PR Attitudes and Behaviors also exhibited moderate</w:t>
      </w:r>
      <w:r w:rsidR="00D9183D">
        <w:t xml:space="preserve"> </w:t>
      </w:r>
      <w:r w:rsidR="00DA112C" w:rsidRPr="00E84D59">
        <w:t>to</w:t>
      </w:r>
      <w:r w:rsidR="00D9183D">
        <w:t xml:space="preserve"> </w:t>
      </w:r>
      <w:r w:rsidR="00DA112C" w:rsidRPr="00E84D59">
        <w:t>large positive associations with UPPS-P Lack of Perseverance, UPPS-P Lack of Premeditation, and PID-5 Negative Affectivity (</w:t>
      </w:r>
      <w:r w:rsidR="00DA112C" w:rsidRPr="00E84D59">
        <w:rPr>
          <w:i/>
        </w:rPr>
        <w:t>r</w:t>
      </w:r>
      <w:r w:rsidR="00DA112C" w:rsidRPr="00E84D59">
        <w:t>s ranged from .19 to .43); and large positive associations with the Psychological Entitlement Scale, VAST Direct Sadism, UPPS-P Negative and Positive Urgency, UPPS-P Sensation Seeking, PID-5 Disinhibition, PID-5 Psychoticism, PID-5 Detachment, and PID-5 Antagonism (</w:t>
      </w:r>
      <w:r w:rsidR="00DA112C" w:rsidRPr="00E84D59">
        <w:rPr>
          <w:i/>
        </w:rPr>
        <w:t>r</w:t>
      </w:r>
      <w:r w:rsidR="00DA112C" w:rsidRPr="00E84D59">
        <w:t>s ranged from .45 to .75). All told, these findings indicate that individuals who endorse and engage in sexually objectifying attitudes and behaviors are characterized by antagonism, callousness, sadis</w:t>
      </w:r>
      <w:r w:rsidR="00DD53C9">
        <w:t>m, entitlement, and impulsivity</w:t>
      </w:r>
      <w:r w:rsidR="00DA112C" w:rsidRPr="00E84D59">
        <w:t xml:space="preserve"> and that our findings are not </w:t>
      </w:r>
      <w:r w:rsidR="00DA112C" w:rsidRPr="00E84D59">
        <w:lastRenderedPageBreak/>
        <w:t xml:space="preserve">specific to psychopathy </w:t>
      </w:r>
      <w:r w:rsidR="00DA112C" w:rsidRPr="00E84D59">
        <w:rPr>
          <w:i/>
        </w:rPr>
        <w:t>per se</w:t>
      </w:r>
      <w:r w:rsidR="00DA112C" w:rsidRPr="00E84D59">
        <w:t xml:space="preserve">. </w:t>
      </w:r>
      <w:r w:rsidR="00DA112C">
        <w:t>Unlike psychopathy, t</w:t>
      </w:r>
      <w:r w:rsidR="00980AE3" w:rsidRPr="00E84D59">
        <w:t xml:space="preserve">here was </w:t>
      </w:r>
      <w:r w:rsidR="00DA112C">
        <w:t>only limited</w:t>
      </w:r>
      <w:r w:rsidR="00980AE3" w:rsidRPr="00E84D59">
        <w:t xml:space="preserve"> discrimination between ISOS</w:t>
      </w:r>
      <w:r w:rsidR="000320ED" w:rsidRPr="00E84D59">
        <w:t>-P</w:t>
      </w:r>
      <w:r w:rsidR="000F20C0" w:rsidRPr="00E84D59">
        <w:t>R</w:t>
      </w:r>
      <w:r w:rsidR="00980AE3" w:rsidRPr="00E84D59">
        <w:t xml:space="preserve"> Attitudes and </w:t>
      </w:r>
      <w:r w:rsidR="00DA112C">
        <w:t xml:space="preserve">ISOS-PR </w:t>
      </w:r>
      <w:r w:rsidR="00980AE3" w:rsidRPr="00E84D59">
        <w:t>Behaviors</w:t>
      </w:r>
      <w:r w:rsidR="00DA112C">
        <w:t xml:space="preserve"> for the additional external criteria</w:t>
      </w:r>
      <w:r w:rsidR="006F2BA4" w:rsidRPr="00E84D59">
        <w:t xml:space="preserve">. </w:t>
      </w:r>
    </w:p>
    <w:p w14:paraId="00A697CA" w14:textId="77777777" w:rsidR="000A4760" w:rsidRPr="00E84D59" w:rsidRDefault="000A4760" w:rsidP="000A4760">
      <w:pPr>
        <w:spacing w:line="480" w:lineRule="auto"/>
        <w:jc w:val="center"/>
        <w:rPr>
          <w:b/>
        </w:rPr>
      </w:pPr>
      <w:r w:rsidRPr="00E84D59">
        <w:rPr>
          <w:b/>
        </w:rPr>
        <w:t>Study 2</w:t>
      </w:r>
    </w:p>
    <w:p w14:paraId="054020D2" w14:textId="77777777" w:rsidR="000A4760" w:rsidRPr="00E84D59" w:rsidRDefault="000A4760" w:rsidP="000A4760">
      <w:pPr>
        <w:spacing w:line="480" w:lineRule="auto"/>
      </w:pPr>
      <w:r w:rsidRPr="00E84D59">
        <w:rPr>
          <w:b/>
        </w:rPr>
        <w:t>Method</w:t>
      </w:r>
    </w:p>
    <w:p w14:paraId="354EFD28" w14:textId="102D20C5" w:rsidR="006B4F8C" w:rsidRPr="00E84D59" w:rsidRDefault="000A4760" w:rsidP="00BC1263">
      <w:pPr>
        <w:spacing w:line="480" w:lineRule="auto"/>
        <w:ind w:firstLine="720"/>
        <w:rPr>
          <w:rFonts w:eastAsia="Calibri"/>
        </w:rPr>
      </w:pPr>
      <w:r w:rsidRPr="00E84D59">
        <w:rPr>
          <w:b/>
        </w:rPr>
        <w:t xml:space="preserve">Participants. </w:t>
      </w:r>
      <w:r w:rsidRPr="00E84D59">
        <w:t xml:space="preserve">Participants were 419 </w:t>
      </w:r>
      <w:r w:rsidR="008E1C44" w:rsidRPr="00E84D59">
        <w:t xml:space="preserve">MTurk </w:t>
      </w:r>
      <w:r w:rsidRPr="00E84D59">
        <w:t>community members (48% female; M</w:t>
      </w:r>
      <w:r w:rsidRPr="00E84D59">
        <w:rPr>
          <w:vertAlign w:val="subscript"/>
        </w:rPr>
        <w:t>age</w:t>
      </w:r>
      <w:r w:rsidRPr="00E84D59">
        <w:t>= 36.7)</w:t>
      </w:r>
      <w:r w:rsidR="00C71C7E" w:rsidRPr="00E84D59">
        <w:t xml:space="preserve"> from the United States</w:t>
      </w:r>
      <w:r w:rsidR="004F513E" w:rsidRPr="00E84D59">
        <w:t xml:space="preserve"> and </w:t>
      </w:r>
      <w:r w:rsidR="0016470F" w:rsidRPr="00E84D59">
        <w:t xml:space="preserve">were </w:t>
      </w:r>
      <w:r w:rsidR="00DD53C9">
        <w:t>mostly</w:t>
      </w:r>
      <w:r w:rsidR="00192AE9" w:rsidRPr="00E84D59">
        <w:t xml:space="preserve"> </w:t>
      </w:r>
      <w:r w:rsidRPr="00E84D59">
        <w:t>Caucasian (</w:t>
      </w:r>
      <w:r w:rsidRPr="00E84D59">
        <w:rPr>
          <w:rFonts w:eastAsia="Calibri"/>
        </w:rPr>
        <w:t xml:space="preserve">82.5%), </w:t>
      </w:r>
      <w:r w:rsidR="004F513E" w:rsidRPr="00E84D59">
        <w:rPr>
          <w:rFonts w:eastAsia="Calibri"/>
        </w:rPr>
        <w:t xml:space="preserve">Latinx (8.2%), </w:t>
      </w:r>
      <w:r w:rsidRPr="00E84D59">
        <w:rPr>
          <w:rFonts w:eastAsia="Calibri"/>
        </w:rPr>
        <w:t xml:space="preserve">African American (7.7%), </w:t>
      </w:r>
      <w:r w:rsidR="004F513E" w:rsidRPr="00E84D59">
        <w:rPr>
          <w:rFonts w:eastAsia="Calibri"/>
        </w:rPr>
        <w:t>and</w:t>
      </w:r>
      <w:r w:rsidR="008E1C44" w:rsidRPr="00E84D59">
        <w:rPr>
          <w:rFonts w:eastAsia="Calibri"/>
        </w:rPr>
        <w:t xml:space="preserve"> </w:t>
      </w:r>
      <w:r w:rsidRPr="00E84D59">
        <w:rPr>
          <w:rFonts w:eastAsia="Calibri"/>
        </w:rPr>
        <w:t xml:space="preserve">Asian American (4.6%). </w:t>
      </w:r>
      <w:r w:rsidR="00BC1263" w:rsidRPr="00E84D59">
        <w:rPr>
          <w:rFonts w:eastAsia="Calibri"/>
        </w:rPr>
        <w:t xml:space="preserve">Missing data were </w:t>
      </w:r>
      <w:r w:rsidR="008E1C44" w:rsidRPr="00E84D59">
        <w:rPr>
          <w:rFonts w:eastAsia="Calibri"/>
        </w:rPr>
        <w:t>accounted for</w:t>
      </w:r>
      <w:r w:rsidR="00BC1263" w:rsidRPr="00E84D59">
        <w:rPr>
          <w:rFonts w:eastAsia="Calibri"/>
        </w:rPr>
        <w:t xml:space="preserve"> using the </w:t>
      </w:r>
      <w:r w:rsidR="006B4F8C" w:rsidRPr="00E84D59">
        <w:rPr>
          <w:rFonts w:eastAsia="Calibri"/>
        </w:rPr>
        <w:t xml:space="preserve">expectation-maximization algorithm (Enders, 2001) </w:t>
      </w:r>
      <w:r w:rsidR="008E1C44" w:rsidRPr="00E84D59">
        <w:rPr>
          <w:rFonts w:eastAsia="Calibri"/>
        </w:rPr>
        <w:t xml:space="preserve">for cases </w:t>
      </w:r>
      <w:r w:rsidR="004F513E" w:rsidRPr="00E84D59">
        <w:rPr>
          <w:rFonts w:eastAsia="Calibri"/>
        </w:rPr>
        <w:t xml:space="preserve">with </w:t>
      </w:r>
      <w:r w:rsidR="008E1C44" w:rsidRPr="00E84D59">
        <w:rPr>
          <w:rFonts w:eastAsia="Calibri"/>
        </w:rPr>
        <w:t>greater than</w:t>
      </w:r>
      <w:r w:rsidR="004207E0" w:rsidRPr="00E84D59">
        <w:rPr>
          <w:rFonts w:eastAsia="Calibri"/>
        </w:rPr>
        <w:t xml:space="preserve"> </w:t>
      </w:r>
      <w:r w:rsidR="00BC1263" w:rsidRPr="00E84D59">
        <w:rPr>
          <w:rFonts w:eastAsia="Calibri"/>
        </w:rPr>
        <w:t xml:space="preserve">95% of data present. </w:t>
      </w:r>
      <w:r w:rsidR="00B07281" w:rsidRPr="00E84D59">
        <w:rPr>
          <w:rFonts w:eastAsia="Calibri"/>
        </w:rPr>
        <w:t>C</w:t>
      </w:r>
      <w:r w:rsidR="008E1C44" w:rsidRPr="00E84D59">
        <w:rPr>
          <w:rFonts w:eastAsia="Calibri"/>
        </w:rPr>
        <w:t>ases where less than</w:t>
      </w:r>
      <w:r w:rsidR="004207E0" w:rsidRPr="00E84D59">
        <w:rPr>
          <w:rFonts w:eastAsia="Calibri"/>
        </w:rPr>
        <w:t xml:space="preserve"> </w:t>
      </w:r>
      <w:r w:rsidR="008E1C44" w:rsidRPr="00E84D59">
        <w:rPr>
          <w:rFonts w:eastAsia="Calibri"/>
        </w:rPr>
        <w:t>9</w:t>
      </w:r>
      <w:r w:rsidR="004207E0" w:rsidRPr="00E84D59">
        <w:rPr>
          <w:rFonts w:eastAsia="Calibri"/>
        </w:rPr>
        <w:t xml:space="preserve">5% of data were </w:t>
      </w:r>
      <w:r w:rsidR="008E1C44" w:rsidRPr="00E84D59">
        <w:rPr>
          <w:rFonts w:eastAsia="Calibri"/>
        </w:rPr>
        <w:t>present</w:t>
      </w:r>
      <w:r w:rsidR="004207E0" w:rsidRPr="00E84D59">
        <w:rPr>
          <w:rFonts w:eastAsia="Calibri"/>
        </w:rPr>
        <w:t xml:space="preserve"> were excluded on a listwise basis. </w:t>
      </w:r>
      <w:r w:rsidR="00DD53C9">
        <w:rPr>
          <w:rFonts w:eastAsia="Calibri"/>
        </w:rPr>
        <w:t>W</w:t>
      </w:r>
      <w:r w:rsidR="006F2BA4" w:rsidRPr="00E84D59">
        <w:rPr>
          <w:rFonts w:eastAsia="Calibri"/>
        </w:rPr>
        <w:t xml:space="preserve">orkers who had participated in Study 1 were excluded </w:t>
      </w:r>
      <w:r w:rsidR="00374436" w:rsidRPr="00E84D59">
        <w:rPr>
          <w:rFonts w:eastAsia="Calibri"/>
        </w:rPr>
        <w:t xml:space="preserve">to avoid overlap across samples. </w:t>
      </w:r>
      <w:r w:rsidR="006F2BA4" w:rsidRPr="00E84D59">
        <w:rPr>
          <w:rFonts w:eastAsia="Calibri"/>
        </w:rPr>
        <w:t xml:space="preserve"> </w:t>
      </w:r>
    </w:p>
    <w:p w14:paraId="6F5651D4" w14:textId="422CB708" w:rsidR="009711D8" w:rsidRPr="00E84D59" w:rsidRDefault="000A4760" w:rsidP="00EF423A">
      <w:pPr>
        <w:spacing w:line="480" w:lineRule="auto"/>
        <w:ind w:firstLine="720"/>
      </w:pPr>
      <w:r w:rsidRPr="00E84D59">
        <w:rPr>
          <w:b/>
        </w:rPr>
        <w:t>Measures.</w:t>
      </w:r>
      <w:r w:rsidRPr="00E84D59">
        <w:t xml:space="preserve"> As in the previous study, participants completed the ISOS-P</w:t>
      </w:r>
      <w:r w:rsidR="00405136" w:rsidRPr="00E84D59">
        <w:t>R</w:t>
      </w:r>
      <w:r w:rsidRPr="00E84D59">
        <w:t xml:space="preserve">, TriPM, HEXACO, </w:t>
      </w:r>
      <w:r w:rsidR="0075722F" w:rsidRPr="00E84D59">
        <w:t xml:space="preserve">ACME, NPI, </w:t>
      </w:r>
      <w:r w:rsidR="0057128C" w:rsidRPr="00E84D59">
        <w:t xml:space="preserve">PES, </w:t>
      </w:r>
      <w:r w:rsidRPr="00E84D59">
        <w:t xml:space="preserve">and PID-5. </w:t>
      </w:r>
      <w:r w:rsidR="00DD6BD9" w:rsidRPr="00E84D59">
        <w:t>W</w:t>
      </w:r>
      <w:r w:rsidR="00143F6A" w:rsidRPr="00E84D59">
        <w:t>e administered</w:t>
      </w:r>
      <w:r w:rsidRPr="00E84D59">
        <w:t xml:space="preserve"> the </w:t>
      </w:r>
      <w:r w:rsidR="00A12E9E" w:rsidRPr="00E84D59">
        <w:rPr>
          <w:i/>
        </w:rPr>
        <w:t>Psychopathic Personality Inventory–40</w:t>
      </w:r>
      <w:r w:rsidR="00A12E9E" w:rsidRPr="00E84D59">
        <w:t xml:space="preserve"> (PPI-40; Eisenbarth, Lilienfeld, &amp; Yarkoni, 2014)</w:t>
      </w:r>
      <w:r w:rsidR="0075722F" w:rsidRPr="00E84D59">
        <w:t xml:space="preserve"> in lieu of the PPI-R</w:t>
      </w:r>
      <w:r w:rsidR="00143F6A" w:rsidRPr="00E84D59">
        <w:t>; the PPI-40 is</w:t>
      </w:r>
      <w:r w:rsidR="0075722F" w:rsidRPr="00E84D59">
        <w:t xml:space="preserve"> a 40-item</w:t>
      </w:r>
      <w:r w:rsidRPr="00E84D59">
        <w:t xml:space="preserve"> </w:t>
      </w:r>
      <w:r w:rsidR="00143F6A" w:rsidRPr="00E84D59">
        <w:t>version</w:t>
      </w:r>
      <w:r w:rsidRPr="00E84D59">
        <w:t xml:space="preserve"> of the PPI-R generated via genetic algorithm</w:t>
      </w:r>
      <w:r w:rsidR="00126481" w:rsidRPr="00E84D59">
        <w:t xml:space="preserve"> </w:t>
      </w:r>
      <w:r w:rsidR="00752D9E" w:rsidRPr="00E84D59">
        <w:t xml:space="preserve">whose </w:t>
      </w:r>
      <w:r w:rsidR="00E00904" w:rsidRPr="00E84D59">
        <w:t>subscales demonstrate</w:t>
      </w:r>
      <w:r w:rsidRPr="00E84D59">
        <w:t xml:space="preserve"> high convergent </w:t>
      </w:r>
      <w:r w:rsidR="00DD6BD9" w:rsidRPr="00E84D59">
        <w:t xml:space="preserve">validity with </w:t>
      </w:r>
      <w:r w:rsidR="00752D9E" w:rsidRPr="00E84D59">
        <w:t xml:space="preserve">those of </w:t>
      </w:r>
      <w:r w:rsidR="00DD6BD9" w:rsidRPr="00E84D59">
        <w:t xml:space="preserve">the </w:t>
      </w:r>
      <w:r w:rsidR="00752D9E" w:rsidRPr="00E84D59">
        <w:t xml:space="preserve">full </w:t>
      </w:r>
      <w:r w:rsidR="00DD6BD9" w:rsidRPr="00E84D59">
        <w:t xml:space="preserve">PPI-R. </w:t>
      </w:r>
      <w:r w:rsidRPr="00E84D59">
        <w:t xml:space="preserve">Additionally, participants completed </w:t>
      </w:r>
      <w:r w:rsidR="005F6F0F" w:rsidRPr="00E84D59">
        <w:t xml:space="preserve">the </w:t>
      </w:r>
      <w:r w:rsidR="005F6F0F" w:rsidRPr="00E84D59">
        <w:rPr>
          <w:i/>
        </w:rPr>
        <w:t xml:space="preserve">Hypersensitive Narcissism Scale </w:t>
      </w:r>
      <w:r w:rsidR="005F6F0F" w:rsidRPr="00E84D59">
        <w:t>(HSNS; Hendin &amp; Cheek, 2013)</w:t>
      </w:r>
      <w:r w:rsidR="00572EF6">
        <w:t>,</w:t>
      </w:r>
      <w:r w:rsidR="007B3499" w:rsidRPr="00E84D59">
        <w:t xml:space="preserve"> a </w:t>
      </w:r>
      <w:r w:rsidR="007E5DD5" w:rsidRPr="00E84D59">
        <w:t>12</w:t>
      </w:r>
      <w:r w:rsidR="00175293" w:rsidRPr="00E84D59">
        <w:t>-</w:t>
      </w:r>
      <w:r w:rsidR="00FB7F22" w:rsidRPr="00E84D59">
        <w:t>item self</w:t>
      </w:r>
      <w:r w:rsidR="00175293" w:rsidRPr="00E84D59">
        <w:t>-report measure of vulnerable narcissism</w:t>
      </w:r>
      <w:r w:rsidR="00A32D32" w:rsidRPr="00E84D59">
        <w:t xml:space="preserve"> </w:t>
      </w:r>
      <w:r w:rsidR="00DD6BD9" w:rsidRPr="00E84D59">
        <w:t>(α=.80)</w:t>
      </w:r>
      <w:r w:rsidR="00572EF6">
        <w:t xml:space="preserve">. </w:t>
      </w:r>
      <w:r w:rsidR="00DD6BD9" w:rsidRPr="00E84D59">
        <w:t xml:space="preserve"> </w:t>
      </w:r>
    </w:p>
    <w:p w14:paraId="5E5C2E27" w14:textId="405FA33D" w:rsidR="000A4760" w:rsidRPr="00E84D59" w:rsidRDefault="000A4760" w:rsidP="000A4760">
      <w:pPr>
        <w:spacing w:line="480" w:lineRule="auto"/>
        <w:rPr>
          <w:b/>
        </w:rPr>
      </w:pPr>
      <w:r w:rsidRPr="00E84D59">
        <w:rPr>
          <w:b/>
        </w:rPr>
        <w:t>Results</w:t>
      </w:r>
      <w:r w:rsidR="00AF2DB1" w:rsidRPr="00E84D59">
        <w:rPr>
          <w:b/>
        </w:rPr>
        <w:t xml:space="preserve"> and Discussion</w:t>
      </w:r>
    </w:p>
    <w:p w14:paraId="10DDE806" w14:textId="5EACFF8E" w:rsidR="00C06A49" w:rsidRPr="00E84D59" w:rsidRDefault="006D393F" w:rsidP="00C06A49">
      <w:pPr>
        <w:spacing w:line="480" w:lineRule="auto"/>
        <w:ind w:firstLine="720"/>
      </w:pPr>
      <w:r w:rsidRPr="00E84D59">
        <w:rPr>
          <w:b/>
        </w:rPr>
        <w:t>Aim 1: Broadening the ISOS-P to include attitudes</w:t>
      </w:r>
      <w:r w:rsidR="00E9030D" w:rsidRPr="00E84D59">
        <w:rPr>
          <w:b/>
        </w:rPr>
        <w:t>.</w:t>
      </w:r>
      <w:r w:rsidR="00C06A49" w:rsidRPr="00E84D59">
        <w:rPr>
          <w:b/>
        </w:rPr>
        <w:t xml:space="preserve"> </w:t>
      </w:r>
      <w:r w:rsidR="00C06A49" w:rsidRPr="00E84D59">
        <w:t>The first-order oblique ISO</w:t>
      </w:r>
      <w:r w:rsidR="00405136" w:rsidRPr="00E84D59">
        <w:t>S-P</w:t>
      </w:r>
      <w:r w:rsidR="00E9030D" w:rsidRPr="00E84D59">
        <w:t>R</w:t>
      </w:r>
      <w:r w:rsidR="00C06A49" w:rsidRPr="00E84D59">
        <w:t xml:space="preserve"> model </w:t>
      </w:r>
      <w:r w:rsidR="00780CBE">
        <w:t xml:space="preserve">(see Table 1) </w:t>
      </w:r>
      <w:r w:rsidR="00C06A49" w:rsidRPr="00E84D59">
        <w:t>with Attitudes and Behaviors factors</w:t>
      </w:r>
      <w:r w:rsidR="00DD6BD9" w:rsidRPr="00E84D59">
        <w:t xml:space="preserve"> (</w:t>
      </w:r>
      <w:r w:rsidR="00DD6BD9" w:rsidRPr="00E84D59">
        <w:rPr>
          <w:i/>
        </w:rPr>
        <w:t>r</w:t>
      </w:r>
      <w:r w:rsidR="00DD6BD9" w:rsidRPr="00E84D59">
        <w:t xml:space="preserve"> = .76)</w:t>
      </w:r>
      <w:r w:rsidR="00C06A49" w:rsidRPr="00E84D59">
        <w:t xml:space="preserve"> fit the data as well as </w:t>
      </w:r>
      <w:r w:rsidR="00EF57EF" w:rsidRPr="00E84D59">
        <w:t xml:space="preserve">it did </w:t>
      </w:r>
      <w:r w:rsidR="00C06A49" w:rsidRPr="00E84D59">
        <w:t>in Study 1 (</w:t>
      </w:r>
      <w:r w:rsidR="00DD6BD9" w:rsidRPr="00E84D59">
        <w:rPr>
          <w:bCs/>
          <w:i/>
          <w:shd w:val="clear" w:color="auto" w:fill="FFFFFF"/>
        </w:rPr>
        <w:t>Χ</w:t>
      </w:r>
      <w:r w:rsidR="00DD6BD9" w:rsidRPr="00E84D59">
        <w:rPr>
          <w:bCs/>
          <w:shd w:val="clear" w:color="auto" w:fill="FFFFFF"/>
          <w:vertAlign w:val="superscript"/>
        </w:rPr>
        <w:t>2</w:t>
      </w:r>
      <w:r w:rsidR="00DD6BD9" w:rsidRPr="00E84D59">
        <w:t xml:space="preserve"> = 1</w:t>
      </w:r>
      <w:r w:rsidR="00E94D3D">
        <w:t>018</w:t>
      </w:r>
      <w:r w:rsidR="00DD6BD9" w:rsidRPr="00E84D59">
        <w:t xml:space="preserve">, df = </w:t>
      </w:r>
      <w:r w:rsidR="00E94D3D">
        <w:t>188</w:t>
      </w:r>
      <w:r w:rsidR="00DD6BD9" w:rsidRPr="00E84D59">
        <w:t xml:space="preserve">, </w:t>
      </w:r>
      <w:r w:rsidR="00DD6BD9" w:rsidRPr="00E84D59">
        <w:rPr>
          <w:i/>
        </w:rPr>
        <w:t>p</w:t>
      </w:r>
      <w:r w:rsidR="00DD6BD9" w:rsidRPr="00E84D59">
        <w:t xml:space="preserve"> &lt; .001; CFI = 0.96; TLI = 0.95</w:t>
      </w:r>
      <w:r w:rsidR="00DD6BD9" w:rsidRPr="00792610">
        <w:t xml:space="preserve">; </w:t>
      </w:r>
      <w:r w:rsidR="00DD6BD9" w:rsidRPr="00700E58">
        <w:t>RMSEA = 0.10,</w:t>
      </w:r>
      <w:r w:rsidR="00DD6BD9" w:rsidRPr="00E84D59">
        <w:t xml:space="preserve"> </w:t>
      </w:r>
      <w:r w:rsidR="00DD6BD9" w:rsidRPr="00E84D59">
        <w:rPr>
          <w:i/>
        </w:rPr>
        <w:t>p</w:t>
      </w:r>
      <w:r w:rsidR="00DD6BD9" w:rsidRPr="00E84D59">
        <w:t xml:space="preserve"> &lt; .001</w:t>
      </w:r>
      <w:r w:rsidR="00780CBE">
        <w:t>)</w:t>
      </w:r>
      <w:r w:rsidR="006F2BA4" w:rsidRPr="00E84D59">
        <w:t xml:space="preserve">. </w:t>
      </w:r>
      <w:r w:rsidR="002B07D1">
        <w:t xml:space="preserve">As in Study </w:t>
      </w:r>
      <w:r w:rsidR="002B07D1" w:rsidRPr="00394391">
        <w:t xml:space="preserve">1, full measurement </w:t>
      </w:r>
      <w:r w:rsidR="009570EF" w:rsidRPr="00394391">
        <w:t>in</w:t>
      </w:r>
      <w:r w:rsidR="002B07D1" w:rsidRPr="00394391">
        <w:t xml:space="preserve">variance </w:t>
      </w:r>
      <w:r w:rsidR="00B840E4" w:rsidRPr="00B840E4">
        <w:rPr>
          <w:sz w:val="22"/>
          <w:szCs w:val="22"/>
        </w:rPr>
        <w:t xml:space="preserve">and partial structural invariance was achieved across gender </w:t>
      </w:r>
      <w:r w:rsidR="00941D80">
        <w:lastRenderedPageBreak/>
        <w:t>(see Table S11</w:t>
      </w:r>
      <w:r w:rsidR="002B07D1" w:rsidRPr="00394391">
        <w:t>).</w:t>
      </w:r>
      <w:r w:rsidR="002B07D1">
        <w:t xml:space="preserve"> </w:t>
      </w:r>
      <w:r w:rsidR="002C2ECF">
        <w:t xml:space="preserve">In this model, women reported significantly lower levels of ISOP Attitudes and Behaviors, with the gender difference for the latter being more pronounced.  </w:t>
      </w:r>
    </w:p>
    <w:p w14:paraId="6672F1B4" w14:textId="58685555" w:rsidR="00BB4AFF" w:rsidRPr="00E84D59" w:rsidRDefault="00C06A49" w:rsidP="0016470F">
      <w:pPr>
        <w:spacing w:line="480" w:lineRule="auto"/>
        <w:ind w:firstLine="720"/>
      </w:pPr>
      <w:r w:rsidRPr="00E84D59">
        <w:rPr>
          <w:b/>
        </w:rPr>
        <w:t xml:space="preserve">Aim 2a: Relations between </w:t>
      </w:r>
      <w:r w:rsidR="00DA112C">
        <w:rPr>
          <w:b/>
        </w:rPr>
        <w:t>psychopathy</w:t>
      </w:r>
      <w:r w:rsidR="00DA112C" w:rsidRPr="00E84D59">
        <w:rPr>
          <w:b/>
        </w:rPr>
        <w:t xml:space="preserve"> </w:t>
      </w:r>
      <w:r w:rsidRPr="00E84D59">
        <w:rPr>
          <w:b/>
        </w:rPr>
        <w:t xml:space="preserve">and ISOP. </w:t>
      </w:r>
      <w:r w:rsidR="00DA112C">
        <w:t xml:space="preserve">As presented in Table 2, </w:t>
      </w:r>
      <w:r w:rsidR="00DA112C" w:rsidRPr="00E84D59">
        <w:t>psychopathy</w:t>
      </w:r>
      <w:r w:rsidRPr="00E84D59">
        <w:t xml:space="preserve"> subdimensions’ relations with ISOS</w:t>
      </w:r>
      <w:r w:rsidR="00A22CC5" w:rsidRPr="00E84D59">
        <w:t>-P</w:t>
      </w:r>
      <w:r w:rsidR="00E9030D" w:rsidRPr="00E84D59">
        <w:t>R</w:t>
      </w:r>
      <w:r w:rsidRPr="00E84D59">
        <w:t xml:space="preserve"> Attitudes and Behaviors factors were largely </w:t>
      </w:r>
      <w:r w:rsidR="00EF57EF" w:rsidRPr="00E84D59">
        <w:t xml:space="preserve">consistent </w:t>
      </w:r>
      <w:r w:rsidR="00E63393" w:rsidRPr="00E84D59">
        <w:t>with</w:t>
      </w:r>
      <w:r w:rsidRPr="00E84D59">
        <w:t xml:space="preserve"> those reported in Study 1, </w:t>
      </w:r>
      <w:r w:rsidR="006F2BA4" w:rsidRPr="00E84D59">
        <w:t>although</w:t>
      </w:r>
      <w:r w:rsidRPr="00E84D59">
        <w:t xml:space="preserve"> TriPM Disinhib</w:t>
      </w:r>
      <w:r w:rsidR="003D7842" w:rsidRPr="00E84D59">
        <w:t>ition, TriPM Meanness, and PPI-40</w:t>
      </w:r>
      <w:r w:rsidRPr="00E84D59">
        <w:t xml:space="preserve"> </w:t>
      </w:r>
      <w:r w:rsidR="000F19C7" w:rsidRPr="00E84D59">
        <w:t>SCI</w:t>
      </w:r>
      <w:r w:rsidRPr="00E84D59">
        <w:t xml:space="preserve"> were </w:t>
      </w:r>
      <w:r w:rsidR="00782197" w:rsidRPr="00E84D59">
        <w:t xml:space="preserve">slightly </w:t>
      </w:r>
      <w:r w:rsidR="006F2BA4" w:rsidRPr="00E84D59">
        <w:t>less strongly</w:t>
      </w:r>
      <w:r w:rsidRPr="00E84D59">
        <w:t xml:space="preserve"> associated with ISOS</w:t>
      </w:r>
      <w:r w:rsidR="00AF2DB1" w:rsidRPr="00E84D59">
        <w:t>-P</w:t>
      </w:r>
      <w:r w:rsidR="00E9030D" w:rsidRPr="00E84D59">
        <w:t>R</w:t>
      </w:r>
      <w:r w:rsidRPr="00E84D59">
        <w:t xml:space="preserve"> Attitudes and Behaviors </w:t>
      </w:r>
      <w:r w:rsidR="006F2BA4" w:rsidRPr="00E84D59">
        <w:t xml:space="preserve">than </w:t>
      </w:r>
      <w:r w:rsidRPr="00E84D59">
        <w:t xml:space="preserve">in Study </w:t>
      </w:r>
      <w:r w:rsidR="006F2BA4" w:rsidRPr="00E84D59">
        <w:t>1</w:t>
      </w:r>
      <w:r w:rsidRPr="00E84D59">
        <w:t xml:space="preserve"> (</w:t>
      </w:r>
      <w:r w:rsidRPr="00E84D59">
        <w:rPr>
          <w:i/>
        </w:rPr>
        <w:t>r</w:t>
      </w:r>
      <w:r w:rsidRPr="00E84D59">
        <w:t>s ranged from .</w:t>
      </w:r>
      <w:r w:rsidR="00DA112C">
        <w:t>48</w:t>
      </w:r>
      <w:r w:rsidRPr="00E84D59">
        <w:t xml:space="preserve"> to .6</w:t>
      </w:r>
      <w:r w:rsidR="00DA112C">
        <w:t>5</w:t>
      </w:r>
      <w:r w:rsidRPr="00E84D59">
        <w:t>)</w:t>
      </w:r>
      <w:r w:rsidR="0067065B" w:rsidRPr="00E84D59">
        <w:t xml:space="preserve">. </w:t>
      </w:r>
      <w:r w:rsidR="003D7842" w:rsidRPr="00E84D59">
        <w:t>PPI-40</w:t>
      </w:r>
      <w:r w:rsidRPr="00E84D59">
        <w:t xml:space="preserve"> </w:t>
      </w:r>
      <w:r w:rsidR="000F19C7" w:rsidRPr="00E84D59">
        <w:t>FD’s</w:t>
      </w:r>
      <w:r w:rsidR="0067065B" w:rsidRPr="00E84D59">
        <w:t xml:space="preserve"> relation</w:t>
      </w:r>
      <w:r w:rsidRPr="00E84D59">
        <w:t xml:space="preserve"> with ISOS</w:t>
      </w:r>
      <w:r w:rsidR="00AF2DB1" w:rsidRPr="00E84D59">
        <w:t>-P</w:t>
      </w:r>
      <w:r w:rsidR="00E9030D" w:rsidRPr="00E84D59">
        <w:t>R</w:t>
      </w:r>
      <w:r w:rsidRPr="00E84D59">
        <w:t xml:space="preserve"> Behaviors </w:t>
      </w:r>
      <w:r w:rsidR="0067065B" w:rsidRPr="00E84D59">
        <w:t>was</w:t>
      </w:r>
      <w:r w:rsidRPr="00E84D59">
        <w:t xml:space="preserve"> also weaker than in Study 1.</w:t>
      </w:r>
      <w:r w:rsidR="006F2BA4" w:rsidRPr="00E84D59">
        <w:t xml:space="preserve"> </w:t>
      </w:r>
      <w:r w:rsidR="00782197" w:rsidRPr="00E84D59">
        <w:t xml:space="preserve">When the TriPM dimensions were entered as simultaneous predictors of ISOS-PR factors, TriPM Disinhibition </w:t>
      </w:r>
      <w:r w:rsidR="00DA112C">
        <w:t xml:space="preserve">became considerably less strongly related to ISOS-PR Attitudes, whereas </w:t>
      </w:r>
      <w:r w:rsidR="0084019D">
        <w:t xml:space="preserve">the </w:t>
      </w:r>
      <w:r w:rsidR="00DA112C">
        <w:t xml:space="preserve">relations for TriPM Boldness and TriPM Meanness were largely unchanged. </w:t>
      </w:r>
      <w:r w:rsidR="006F2BA4" w:rsidRPr="00E84D59">
        <w:t xml:space="preserve">Moreover, </w:t>
      </w:r>
      <w:r w:rsidR="0067065B" w:rsidRPr="00E84D59">
        <w:t>TriPM Meanness</w:t>
      </w:r>
      <w:r w:rsidR="0085065B" w:rsidRPr="00E84D59">
        <w:t xml:space="preserve"> </w:t>
      </w:r>
      <w:r w:rsidR="0033597A" w:rsidRPr="00E84D59">
        <w:t>was</w:t>
      </w:r>
      <w:r w:rsidR="0085065B" w:rsidRPr="00E84D59">
        <w:t xml:space="preserve"> </w:t>
      </w:r>
      <w:r w:rsidR="00DA112C">
        <w:t>more strongly</w:t>
      </w:r>
      <w:r w:rsidR="0067065B" w:rsidRPr="00E84D59">
        <w:t xml:space="preserve"> related to </w:t>
      </w:r>
      <w:r w:rsidR="0033597A" w:rsidRPr="00E84D59">
        <w:t>the ISOS-PR factors</w:t>
      </w:r>
      <w:r w:rsidR="003939FF" w:rsidRPr="00E84D59">
        <w:t xml:space="preserve"> than </w:t>
      </w:r>
      <w:r w:rsidR="00DD6BD9" w:rsidRPr="00E84D59">
        <w:t xml:space="preserve">was PPI-R </w:t>
      </w:r>
      <w:r w:rsidR="000F19C7" w:rsidRPr="00E84D59">
        <w:t xml:space="preserve">C </w:t>
      </w:r>
      <w:r w:rsidR="0085065B" w:rsidRPr="00E84D59">
        <w:t>(</w:t>
      </w:r>
      <w:r w:rsidR="006F2BA4" w:rsidRPr="00E84D59">
        <w:t xml:space="preserve">Steiger’s </w:t>
      </w:r>
      <w:r w:rsidR="0085065B" w:rsidRPr="00E84D59">
        <w:t xml:space="preserve">Zs </w:t>
      </w:r>
      <w:r w:rsidR="00DA112C">
        <w:t>were</w:t>
      </w:r>
      <w:r w:rsidR="0085065B" w:rsidRPr="00E84D59">
        <w:t xml:space="preserve"> 3.42 to 7.08, </w:t>
      </w:r>
      <w:r w:rsidR="0085065B" w:rsidRPr="00E84D59">
        <w:rPr>
          <w:i/>
        </w:rPr>
        <w:t>p</w:t>
      </w:r>
      <w:r w:rsidR="0085065B" w:rsidRPr="00E84D59">
        <w:t>s &lt; .001)</w:t>
      </w:r>
      <w:r w:rsidR="0099757D" w:rsidRPr="00E84D59">
        <w:t>. W</w:t>
      </w:r>
      <w:r w:rsidR="006F2BA4" w:rsidRPr="00E84D59">
        <w:t>hen</w:t>
      </w:r>
      <w:r w:rsidR="009B65A5" w:rsidRPr="00E84D59">
        <w:t xml:space="preserve"> </w:t>
      </w:r>
      <w:r w:rsidR="003939FF" w:rsidRPr="00E84D59">
        <w:t xml:space="preserve">TriPM Meanness and PPI-40 </w:t>
      </w:r>
      <w:r w:rsidR="000F19C7" w:rsidRPr="00E84D59">
        <w:t xml:space="preserve">C </w:t>
      </w:r>
      <w:r w:rsidR="003939FF" w:rsidRPr="00E84D59">
        <w:t xml:space="preserve">were </w:t>
      </w:r>
      <w:r w:rsidR="009B65A5" w:rsidRPr="00E84D59">
        <w:t>entered simultaneously as predictors of ISOS-P</w:t>
      </w:r>
      <w:r w:rsidR="00E9030D" w:rsidRPr="00E84D59">
        <w:t>R</w:t>
      </w:r>
      <w:r w:rsidR="009B65A5" w:rsidRPr="00E84D59">
        <w:t xml:space="preserve"> Attitudes and Behaviors, relations for TriP</w:t>
      </w:r>
      <w:r w:rsidR="003D7842" w:rsidRPr="00E84D59">
        <w:t xml:space="preserve">M Meanness </w:t>
      </w:r>
      <w:r w:rsidR="00DA112C">
        <w:t>became</w:t>
      </w:r>
      <w:r w:rsidR="00DA112C" w:rsidRPr="00E84D59">
        <w:t xml:space="preserve"> </w:t>
      </w:r>
      <w:r w:rsidR="006F2BA4" w:rsidRPr="00E84D59">
        <w:t xml:space="preserve">only </w:t>
      </w:r>
      <w:r w:rsidR="003D7842" w:rsidRPr="00E84D59">
        <w:t xml:space="preserve">slightly smaller, whereas </w:t>
      </w:r>
      <w:r w:rsidR="00DA112C">
        <w:t xml:space="preserve">those for </w:t>
      </w:r>
      <w:r w:rsidR="003D7842" w:rsidRPr="00E84D59">
        <w:t xml:space="preserve">PPI-40 </w:t>
      </w:r>
      <w:r w:rsidR="000F19C7" w:rsidRPr="00E84D59">
        <w:t xml:space="preserve">C </w:t>
      </w:r>
      <w:r w:rsidR="00DA112C">
        <w:t>became considerably smaller</w:t>
      </w:r>
      <w:r w:rsidR="00782197" w:rsidRPr="00E84D59">
        <w:t xml:space="preserve">. </w:t>
      </w:r>
      <w:r w:rsidR="00EA417F" w:rsidRPr="00E84D59">
        <w:t>There was again a notable lack of specificity in relations between psychopathy subdimensions, on the one hand, and ISOS-PR Attitudes and Behaviors, on the other</w:t>
      </w:r>
      <w:r w:rsidR="00EA417F">
        <w:t>, with the lon</w:t>
      </w:r>
      <w:r w:rsidR="0084019D">
        <w:t>e</w:t>
      </w:r>
      <w:r w:rsidR="00EA417F">
        <w:t xml:space="preserve"> exception of PPI-40</w:t>
      </w:r>
      <w:r w:rsidR="00FB1CE8">
        <w:t xml:space="preserve"> C</w:t>
      </w:r>
      <w:r w:rsidR="00EA417F">
        <w:t xml:space="preserve">, </w:t>
      </w:r>
      <w:r w:rsidR="00EA417F" w:rsidRPr="005658B0">
        <w:t>which was</w:t>
      </w:r>
      <w:r w:rsidR="00291A07" w:rsidRPr="005658B0">
        <w:t xml:space="preserve"> again</w:t>
      </w:r>
      <w:r w:rsidR="00EA417F" w:rsidRPr="005658B0">
        <w:t xml:space="preserve"> more strongly related to </w:t>
      </w:r>
      <w:r w:rsidR="00291A07" w:rsidRPr="005658B0">
        <w:t>Attitudes than Behaviors</w:t>
      </w:r>
      <w:r w:rsidR="004205B9">
        <w:t xml:space="preserve"> (Steiger’s </w:t>
      </w:r>
      <w:r w:rsidR="004205B9" w:rsidRPr="004205B9">
        <w:rPr>
          <w:bCs/>
        </w:rPr>
        <w:t>Z</w:t>
      </w:r>
      <w:r w:rsidR="004205B9">
        <w:rPr>
          <w:bCs/>
        </w:rPr>
        <w:t xml:space="preserve"> = 3.83, </w:t>
      </w:r>
      <w:r w:rsidR="004205B9">
        <w:rPr>
          <w:bCs/>
          <w:i/>
        </w:rPr>
        <w:t>p</w:t>
      </w:r>
      <w:r w:rsidR="004205B9" w:rsidRPr="004205B9">
        <w:rPr>
          <w:bCs/>
        </w:rPr>
        <w:t xml:space="preserve"> &lt; .001</w:t>
      </w:r>
      <w:r w:rsidR="004205B9">
        <w:rPr>
          <w:bCs/>
        </w:rPr>
        <w:t>)</w:t>
      </w:r>
      <w:r w:rsidR="00291A07" w:rsidRPr="005658B0">
        <w:t>.</w:t>
      </w:r>
      <w:r w:rsidR="00291A07">
        <w:t xml:space="preserve"> </w:t>
      </w:r>
    </w:p>
    <w:p w14:paraId="545D8789" w14:textId="39085E03" w:rsidR="002B07D1" w:rsidRDefault="00EA360D" w:rsidP="00E037F6">
      <w:pPr>
        <w:spacing w:line="480" w:lineRule="auto"/>
        <w:ind w:firstLine="720"/>
      </w:pPr>
      <w:r w:rsidRPr="00E84D59">
        <w:rPr>
          <w:b/>
        </w:rPr>
        <w:t>Aim 2b: Psychopathy as a moderator of the attitudes-behavior link.</w:t>
      </w:r>
      <w:r w:rsidR="00E037F6" w:rsidRPr="00E84D59">
        <w:t xml:space="preserve"> </w:t>
      </w:r>
      <w:r w:rsidR="002B07D1">
        <w:t>Following the procedures outlined in Study 1, we examined the degree to which psychopathic traits potentiate the relation between attitudinal and behavioral ISOP</w:t>
      </w:r>
      <w:r w:rsidR="00DA112C">
        <w:t>. Five</w:t>
      </w:r>
      <w:r w:rsidR="002B07D1">
        <w:t xml:space="preserve"> of the </w:t>
      </w:r>
      <w:r w:rsidR="004D1352">
        <w:t>six</w:t>
      </w:r>
      <w:r w:rsidR="002B07D1">
        <w:t xml:space="preserve"> hypothesized interactions were statistically significant. </w:t>
      </w:r>
      <w:r w:rsidR="00DA112C">
        <w:t xml:space="preserve">All psychopathy facets but TriPM Boldness </w:t>
      </w:r>
      <w:r w:rsidR="00B232C2">
        <w:t>interacted with ISOS-</w:t>
      </w:r>
      <w:r w:rsidR="00B232C2">
        <w:lastRenderedPageBreak/>
        <w:t>PR Attitudes</w:t>
      </w:r>
      <w:r w:rsidR="00DA112C">
        <w:t xml:space="preserve"> in a potentiating manner</w:t>
      </w:r>
      <w:r w:rsidR="00B232C2">
        <w:t xml:space="preserve"> (</w:t>
      </w:r>
      <w:r w:rsidR="00DA112C">
        <w:t xml:space="preserve">average </w:t>
      </w:r>
      <w:r w:rsidR="00B232C2" w:rsidRPr="00E013B7">
        <w:t>ΔR</w:t>
      </w:r>
      <w:r w:rsidR="00B232C2" w:rsidRPr="00E013B7">
        <w:rPr>
          <w:vertAlign w:val="superscript"/>
        </w:rPr>
        <w:t>2</w:t>
      </w:r>
      <w:r w:rsidR="00DA112C">
        <w:rPr>
          <w:vertAlign w:val="superscript"/>
        </w:rPr>
        <w:t xml:space="preserve"> </w:t>
      </w:r>
      <w:r w:rsidR="00DA112C">
        <w:t xml:space="preserve">= </w:t>
      </w:r>
      <w:r w:rsidR="0011238A">
        <w:t>.007</w:t>
      </w:r>
      <w:r w:rsidR="00DA112C">
        <w:t xml:space="preserve">, </w:t>
      </w:r>
      <w:r w:rsidR="00DA112C">
        <w:rPr>
          <w:i/>
        </w:rPr>
        <w:t>p</w:t>
      </w:r>
      <w:r w:rsidR="00DA112C">
        <w:t>s &lt; .05</w:t>
      </w:r>
      <w:r w:rsidR="00B232C2">
        <w:t xml:space="preserve">), such that </w:t>
      </w:r>
      <w:r w:rsidR="00B232C2" w:rsidRPr="00E84D59">
        <w:t>relations</w:t>
      </w:r>
      <w:r w:rsidR="009B55B4">
        <w:t xml:space="preserve"> between attitudinal and behavioral ISOP</w:t>
      </w:r>
      <w:r w:rsidR="00B232C2" w:rsidRPr="00E84D59">
        <w:t xml:space="preserve"> were more pronounced at higher levels of psychopathic traits</w:t>
      </w:r>
      <w:r w:rsidR="009B55B4">
        <w:t xml:space="preserve">. </w:t>
      </w:r>
    </w:p>
    <w:p w14:paraId="71AD2B96" w14:textId="77777777" w:rsidR="00B840E4" w:rsidRDefault="006D393F" w:rsidP="000E3AF7">
      <w:pPr>
        <w:spacing w:line="480" w:lineRule="auto"/>
        <w:ind w:firstLine="720"/>
      </w:pPr>
      <w:r>
        <w:rPr>
          <w:b/>
        </w:rPr>
        <w:t>Aim 3</w:t>
      </w:r>
      <w:r w:rsidR="00B232C2" w:rsidRPr="000E2382">
        <w:rPr>
          <w:b/>
        </w:rPr>
        <w:t>: Gender as a moderator of the psychopathy-ISOP link.</w:t>
      </w:r>
      <w:r w:rsidR="00B232C2">
        <w:rPr>
          <w:b/>
        </w:rPr>
        <w:t xml:space="preserve"> </w:t>
      </w:r>
      <w:r w:rsidR="000E3AF7">
        <w:t>Four</w:t>
      </w:r>
      <w:r w:rsidR="000E3AF7" w:rsidDel="00DA112C">
        <w:t xml:space="preserve"> </w:t>
      </w:r>
      <w:r w:rsidR="000E3AF7">
        <w:t xml:space="preserve">of the 12 hypothesized psychopathy-gender interactions were statistically significant (average </w:t>
      </w:r>
      <w:r w:rsidR="000E3AF7" w:rsidRPr="00E013B7">
        <w:t>ΔR</w:t>
      </w:r>
      <w:r w:rsidR="000E3AF7" w:rsidRPr="00E013B7">
        <w:rPr>
          <w:vertAlign w:val="superscript"/>
        </w:rPr>
        <w:t>2</w:t>
      </w:r>
      <w:r w:rsidR="000E3AF7">
        <w:rPr>
          <w:vertAlign w:val="superscript"/>
        </w:rPr>
        <w:t xml:space="preserve"> </w:t>
      </w:r>
      <w:r w:rsidR="000E3AF7">
        <w:t xml:space="preserve">= .018, </w:t>
      </w:r>
      <w:r w:rsidR="000E3AF7">
        <w:rPr>
          <w:i/>
        </w:rPr>
        <w:t>p</w:t>
      </w:r>
      <w:r w:rsidR="000E3AF7">
        <w:t xml:space="preserve">s &lt; .05). Boldness measures were better predictors of ISOS-PR Behaviors in women than men (PPI-40 FD/TriPM Boldness: </w:t>
      </w:r>
      <w:r w:rsidR="000E3AF7">
        <w:rPr>
          <w:i/>
        </w:rPr>
        <w:t>r</w:t>
      </w:r>
      <w:r w:rsidR="000E3AF7">
        <w:rPr>
          <w:vertAlign w:val="subscript"/>
        </w:rPr>
        <w:t xml:space="preserve">women </w:t>
      </w:r>
      <w:r w:rsidR="000E3AF7">
        <w:t>= .30/.23, SE</w:t>
      </w:r>
      <w:r w:rsidR="000E3AF7" w:rsidRPr="00BE2E30">
        <w:rPr>
          <w:i/>
          <w:vertAlign w:val="subscript"/>
        </w:rPr>
        <w:t>r</w:t>
      </w:r>
      <w:r w:rsidR="000E3AF7">
        <w:rPr>
          <w:i/>
          <w:vertAlign w:val="subscript"/>
        </w:rPr>
        <w:t xml:space="preserve">s </w:t>
      </w:r>
      <w:r w:rsidR="000E3AF7">
        <w:t xml:space="preserve">= .08; </w:t>
      </w:r>
      <w:r w:rsidR="000E3AF7">
        <w:rPr>
          <w:i/>
        </w:rPr>
        <w:t>r</w:t>
      </w:r>
      <w:r w:rsidR="000E3AF7" w:rsidRPr="00394391">
        <w:rPr>
          <w:vertAlign w:val="subscript"/>
        </w:rPr>
        <w:t xml:space="preserve">men </w:t>
      </w:r>
      <w:r w:rsidR="000E3AF7" w:rsidRPr="00394391">
        <w:t>= .1</w:t>
      </w:r>
      <w:r w:rsidR="000E3AF7">
        <w:t>2/.01, SE</w:t>
      </w:r>
      <w:r w:rsidR="000E3AF7" w:rsidRPr="00BE2E30">
        <w:rPr>
          <w:i/>
          <w:vertAlign w:val="subscript"/>
        </w:rPr>
        <w:t>r</w:t>
      </w:r>
      <w:r w:rsidR="000E3AF7">
        <w:rPr>
          <w:i/>
          <w:vertAlign w:val="subscript"/>
        </w:rPr>
        <w:t xml:space="preserve">s </w:t>
      </w:r>
      <w:r w:rsidR="000E3AF7">
        <w:t xml:space="preserve">= .08). Disinhibition measures, in contrast, were better predictors of ISOS-PR Attitudes in men than women (PPI-40 SCI/TriPM Disinhibition: </w:t>
      </w:r>
      <w:r w:rsidR="000E3AF7">
        <w:rPr>
          <w:i/>
        </w:rPr>
        <w:t>r</w:t>
      </w:r>
      <w:r w:rsidR="000E3AF7">
        <w:rPr>
          <w:vertAlign w:val="subscript"/>
        </w:rPr>
        <w:t xml:space="preserve">women </w:t>
      </w:r>
      <w:r w:rsidR="000E3AF7">
        <w:t>= .41/.30, SE</w:t>
      </w:r>
      <w:r w:rsidR="000E3AF7" w:rsidRPr="00BE2E30">
        <w:rPr>
          <w:i/>
          <w:vertAlign w:val="subscript"/>
        </w:rPr>
        <w:t>r</w:t>
      </w:r>
      <w:r w:rsidR="000E3AF7">
        <w:rPr>
          <w:i/>
          <w:vertAlign w:val="subscript"/>
        </w:rPr>
        <w:t xml:space="preserve">s </w:t>
      </w:r>
      <w:r w:rsidR="000E3AF7">
        <w:t xml:space="preserve">= .06; </w:t>
      </w:r>
      <w:r w:rsidR="000E3AF7">
        <w:rPr>
          <w:i/>
        </w:rPr>
        <w:t>r</w:t>
      </w:r>
      <w:r w:rsidR="000E3AF7" w:rsidRPr="00252A50">
        <w:rPr>
          <w:vertAlign w:val="subscript"/>
        </w:rPr>
        <w:t xml:space="preserve">men </w:t>
      </w:r>
      <w:r w:rsidR="000E3AF7" w:rsidRPr="00252A50">
        <w:t xml:space="preserve">= </w:t>
      </w:r>
      <w:r w:rsidR="000E3AF7">
        <w:t>.72/.65, SE</w:t>
      </w:r>
      <w:r w:rsidR="000E3AF7" w:rsidRPr="00BE2E30">
        <w:rPr>
          <w:i/>
          <w:vertAlign w:val="subscript"/>
        </w:rPr>
        <w:t>r</w:t>
      </w:r>
      <w:r w:rsidR="000E3AF7">
        <w:rPr>
          <w:i/>
          <w:vertAlign w:val="subscript"/>
        </w:rPr>
        <w:t xml:space="preserve"> </w:t>
      </w:r>
      <w:r w:rsidR="000E3AF7">
        <w:t>= .04/.05). Nevertheless, of these four significant interactions, only one—FD and ISOS-PR Behaviors—directly replicated the findings from Study 1.</w:t>
      </w:r>
      <w:r w:rsidR="00DA112C">
        <w:tab/>
      </w:r>
    </w:p>
    <w:p w14:paraId="382D5358" w14:textId="7C467E89" w:rsidR="0016470F" w:rsidRPr="00E84D59" w:rsidRDefault="00126481" w:rsidP="000E3AF7">
      <w:pPr>
        <w:spacing w:line="480" w:lineRule="auto"/>
        <w:ind w:firstLine="720"/>
      </w:pPr>
      <w:r w:rsidRPr="00E84D59">
        <w:rPr>
          <w:b/>
        </w:rPr>
        <w:t xml:space="preserve">Aim 3: Specificity. </w:t>
      </w:r>
      <w:r w:rsidR="00941D80" w:rsidRPr="00941D80">
        <w:t>As presented in Table 3</w:t>
      </w:r>
      <w:r w:rsidR="00941D80">
        <w:rPr>
          <w:b/>
        </w:rPr>
        <w:t xml:space="preserve">, </w:t>
      </w:r>
      <w:r w:rsidR="00D74204" w:rsidRPr="00E84D59">
        <w:t>ISOS-PR Attitudes and Behaviors exhibited small negative relations with HEXACO Agreeableness; moderate</w:t>
      </w:r>
      <w:r w:rsidR="00782197" w:rsidRPr="00E84D59">
        <w:t xml:space="preserve"> to large </w:t>
      </w:r>
      <w:r w:rsidR="00D74204" w:rsidRPr="00E84D59">
        <w:t>negative relations with HEXACO Conscientiousness and HEXACO Openness (</w:t>
      </w:r>
      <w:r w:rsidR="00D74204" w:rsidRPr="00E84D59">
        <w:rPr>
          <w:i/>
        </w:rPr>
        <w:t>r</w:t>
      </w:r>
      <w:r w:rsidR="00D74204" w:rsidRPr="00E84D59">
        <w:t>s ranged from -.13 to -.46); and large negative relations with HEXACO Honesty-humility. ISOS-PR Attitudes and Behaviors also exhibited moderate</w:t>
      </w:r>
      <w:r w:rsidR="00782197" w:rsidRPr="00E84D59">
        <w:t xml:space="preserve"> to large</w:t>
      </w:r>
      <w:r w:rsidR="00D74204" w:rsidRPr="00E84D59">
        <w:t xml:space="preserve"> positive relations with NPI Leadership/Authority</w:t>
      </w:r>
      <w:r w:rsidR="00D33A22">
        <w:t xml:space="preserve">, </w:t>
      </w:r>
      <w:r w:rsidR="00D74204" w:rsidRPr="00E84D59">
        <w:t>NPI Grandiose Exhibitionism</w:t>
      </w:r>
      <w:r w:rsidR="00D33A22">
        <w:t xml:space="preserve">, and </w:t>
      </w:r>
      <w:r w:rsidR="00D33A22" w:rsidRPr="00E84D59">
        <w:t xml:space="preserve">HSNS Hypersensitive Narcissism </w:t>
      </w:r>
      <w:r w:rsidR="00D74204" w:rsidRPr="00E84D59">
        <w:t>(</w:t>
      </w:r>
      <w:r w:rsidR="00D74204" w:rsidRPr="00E84D59">
        <w:rPr>
          <w:i/>
        </w:rPr>
        <w:t>r</w:t>
      </w:r>
      <w:r w:rsidR="00D74204" w:rsidRPr="00E84D59">
        <w:t>s ranged from .25 to .44) and large positive relations with Psychological Entitlement, NPI Entitlement/Exploitativeness, PID-5 Psychoticism, PID-5 Antagonism, and PID-5 Disinhibition (</w:t>
      </w:r>
      <w:r w:rsidR="00D74204" w:rsidRPr="00E84D59">
        <w:rPr>
          <w:i/>
        </w:rPr>
        <w:t>r</w:t>
      </w:r>
      <w:r w:rsidR="00D74204" w:rsidRPr="00E84D59">
        <w:t xml:space="preserve">s ranged from .36 to .63). </w:t>
      </w:r>
      <w:r w:rsidR="00B12817">
        <w:t>Further</w:t>
      </w:r>
      <w:r w:rsidR="00447209">
        <w:t>,</w:t>
      </w:r>
      <w:r w:rsidRPr="00E84D59" w:rsidDel="00B12817">
        <w:t xml:space="preserve"> a </w:t>
      </w:r>
      <w:r w:rsidR="00337C79">
        <w:t xml:space="preserve">handful of </w:t>
      </w:r>
      <w:r w:rsidR="00A63AD2">
        <w:t>c</w:t>
      </w:r>
      <w:r w:rsidR="005374DB" w:rsidRPr="00E84D59">
        <w:t xml:space="preserve">orrelational differences </w:t>
      </w:r>
      <w:r w:rsidR="00B12817">
        <w:t>emerged</w:t>
      </w:r>
      <w:r w:rsidR="005374DB" w:rsidRPr="00E84D59">
        <w:t xml:space="preserve"> across attitudinal and behavioral objectification</w:t>
      </w:r>
      <w:r w:rsidR="003D7DF2" w:rsidRPr="00E84D59">
        <w:t xml:space="preserve">: </w:t>
      </w:r>
      <w:r w:rsidR="00F32E31" w:rsidRPr="00E84D59">
        <w:t xml:space="preserve">ISOP </w:t>
      </w:r>
      <w:r w:rsidR="00FA087E">
        <w:t>A</w:t>
      </w:r>
      <w:r w:rsidR="00F32E31" w:rsidRPr="00E84D59">
        <w:t>ttitudes better predicted low affective empathy, low agreeableness, low openness,</w:t>
      </w:r>
      <w:r w:rsidR="00BE0DFC" w:rsidRPr="00E84D59">
        <w:t xml:space="preserve"> and</w:t>
      </w:r>
      <w:r w:rsidR="00F32E31" w:rsidRPr="00E84D59">
        <w:t xml:space="preserve"> psychological entitlement</w:t>
      </w:r>
      <w:r w:rsidR="00DD53C9">
        <w:t>, whereas ISOP behaviors better-</w:t>
      </w:r>
      <w:r w:rsidR="00F32E31" w:rsidRPr="00E84D59">
        <w:t>predicted</w:t>
      </w:r>
      <w:r w:rsidR="00F32E31" w:rsidRPr="00E84D59" w:rsidDel="00B12817">
        <w:t xml:space="preserve"> </w:t>
      </w:r>
      <w:r w:rsidR="006F2BA4" w:rsidRPr="00E84D59">
        <w:t>callous-unemotionality</w:t>
      </w:r>
      <w:r w:rsidR="003D0C47">
        <w:t xml:space="preserve">, </w:t>
      </w:r>
      <w:r w:rsidR="006F2BA4" w:rsidRPr="00E84D59">
        <w:t>antagonism</w:t>
      </w:r>
      <w:r w:rsidR="00571990" w:rsidRPr="00E84D59">
        <w:t>,</w:t>
      </w:r>
      <w:r w:rsidR="006F2BA4" w:rsidRPr="00E84D59">
        <w:t xml:space="preserve"> and negative emotionality</w:t>
      </w:r>
      <w:r w:rsidR="00CF32CC">
        <w:t xml:space="preserve"> </w:t>
      </w:r>
      <w:r w:rsidR="00CF32CC" w:rsidRPr="00E84D59">
        <w:t xml:space="preserve">(Steiger’s Zs from |3.84| to |5.22|, </w:t>
      </w:r>
      <w:r w:rsidR="00CF32CC" w:rsidRPr="00E84D59">
        <w:rPr>
          <w:i/>
        </w:rPr>
        <w:t>ps</w:t>
      </w:r>
      <w:r w:rsidR="00CF32CC" w:rsidRPr="00E84D59">
        <w:t>&lt;.001)</w:t>
      </w:r>
      <w:r w:rsidR="00D74204" w:rsidRPr="00E84D59">
        <w:t xml:space="preserve">. </w:t>
      </w:r>
    </w:p>
    <w:p w14:paraId="78F63266" w14:textId="24990285" w:rsidR="00524ADD" w:rsidRPr="00E84D59" w:rsidRDefault="006C61F2" w:rsidP="00D57F66">
      <w:pPr>
        <w:spacing w:line="480" w:lineRule="auto"/>
        <w:jc w:val="center"/>
      </w:pPr>
      <w:r w:rsidRPr="00E84D59">
        <w:rPr>
          <w:b/>
        </w:rPr>
        <w:t xml:space="preserve">General </w:t>
      </w:r>
      <w:r w:rsidR="00F85A39" w:rsidRPr="00E84D59">
        <w:rPr>
          <w:b/>
        </w:rPr>
        <w:t>Discussion</w:t>
      </w:r>
    </w:p>
    <w:p w14:paraId="7916C712" w14:textId="4CB902B3" w:rsidR="002A7EA3" w:rsidRDefault="00524ADD" w:rsidP="009C2288">
      <w:pPr>
        <w:spacing w:line="480" w:lineRule="auto"/>
        <w:ind w:firstLine="720"/>
      </w:pPr>
      <w:r w:rsidRPr="00E84D59">
        <w:lastRenderedPageBreak/>
        <w:t>The present studies sought to examine the personality correlates of and potential risk factors for ISOP</w:t>
      </w:r>
      <w:r w:rsidR="005A4B2D">
        <w:t xml:space="preserve"> attitudes and behaviors</w:t>
      </w:r>
      <w:r w:rsidRPr="00E84D59">
        <w:t xml:space="preserve">, </w:t>
      </w:r>
      <w:r w:rsidR="005A4B2D">
        <w:t>two</w:t>
      </w:r>
      <w:r w:rsidRPr="00E84D59">
        <w:t xml:space="preserve"> heretofore underexamined</w:t>
      </w:r>
      <w:r w:rsidR="005A4B2D">
        <w:t xml:space="preserve"> </w:t>
      </w:r>
      <w:r w:rsidRPr="00E84D59">
        <w:t>yet contemporaneously prominent</w:t>
      </w:r>
      <w:r w:rsidR="005A4B2D">
        <w:t xml:space="preserve"> </w:t>
      </w:r>
      <w:r w:rsidRPr="00E84D59">
        <w:t>construct</w:t>
      </w:r>
      <w:r w:rsidR="005A4B2D">
        <w:t xml:space="preserve">s that are </w:t>
      </w:r>
      <w:r w:rsidRPr="00E84D59">
        <w:t xml:space="preserve">rooted in perceptions of others as reducible to the sum of their sexual body parts and attributes. </w:t>
      </w:r>
      <w:r w:rsidR="00C43E42" w:rsidRPr="00E84D59">
        <w:t>The current investigation</w:t>
      </w:r>
      <w:r w:rsidR="00157252" w:rsidRPr="00E84D59">
        <w:t xml:space="preserve"> is</w:t>
      </w:r>
      <w:r w:rsidR="00AD3B35" w:rsidRPr="00E84D59">
        <w:t xml:space="preserve"> </w:t>
      </w:r>
      <w:r w:rsidR="00157252" w:rsidRPr="00E84D59">
        <w:t>the first</w:t>
      </w:r>
      <w:r w:rsidR="006F6CE1">
        <w:t xml:space="preserve">, </w:t>
      </w:r>
      <w:r w:rsidR="00B25EBF" w:rsidRPr="00E84D59">
        <w:t>to our knowledge</w:t>
      </w:r>
      <w:r w:rsidR="006F6CE1">
        <w:t>,</w:t>
      </w:r>
      <w:r w:rsidR="00B25EBF" w:rsidRPr="00E84D59">
        <w:t xml:space="preserve"> to </w:t>
      </w:r>
      <w:r w:rsidR="00C43E42" w:rsidRPr="00E84D59">
        <w:t xml:space="preserve">elucidate </w:t>
      </w:r>
      <w:r w:rsidR="00564D6D" w:rsidRPr="00E84D59">
        <w:t xml:space="preserve">the </w:t>
      </w:r>
      <w:r w:rsidR="006824D7" w:rsidRPr="00E84D59">
        <w:t xml:space="preserve">personality </w:t>
      </w:r>
      <w:r w:rsidR="00564D6D" w:rsidRPr="00E84D59">
        <w:t>correlates of ISOP</w:t>
      </w:r>
      <w:r w:rsidR="00AD3B35" w:rsidRPr="00E84D59">
        <w:t>.</w:t>
      </w:r>
      <w:r w:rsidR="0055356C">
        <w:t xml:space="preserve"> </w:t>
      </w:r>
      <w:r w:rsidR="002E22E8" w:rsidRPr="00E84D59">
        <w:t>To facilitate this aim, w</w:t>
      </w:r>
      <w:r w:rsidR="00B8343B" w:rsidRPr="00E84D59">
        <w:t xml:space="preserve">e extended the content coverage of the ISOS-P (Gervais et al., 2014) </w:t>
      </w:r>
      <w:r w:rsidR="00480861" w:rsidRPr="00E84D59">
        <w:t xml:space="preserve">beyond behaviors </w:t>
      </w:r>
      <w:r w:rsidR="00B8343B" w:rsidRPr="00E84D59">
        <w:t>to attitudes</w:t>
      </w:r>
      <w:r w:rsidR="005B5D51">
        <w:t>. We then</w:t>
      </w:r>
      <w:r w:rsidR="00480861" w:rsidRPr="00E84D59">
        <w:t xml:space="preserve"> examined the implications of psychopathic traits and a broad spectrum of </w:t>
      </w:r>
      <w:r w:rsidR="006824D7" w:rsidRPr="00E84D59">
        <w:t xml:space="preserve">allied </w:t>
      </w:r>
      <w:r w:rsidR="00480861" w:rsidRPr="00E84D59">
        <w:t>individual difference variables, on the one hand, for said behaviors and attitudes, on the other</w:t>
      </w:r>
      <w:r w:rsidR="006F1D26" w:rsidRPr="00E84D59">
        <w:t>.</w:t>
      </w:r>
      <w:r w:rsidR="00D56931" w:rsidRPr="00E84D59">
        <w:t xml:space="preserve"> </w:t>
      </w:r>
      <w:r w:rsidR="00EB3E69">
        <w:t>I</w:t>
      </w:r>
      <w:r w:rsidR="005D47B5" w:rsidRPr="00E84D59">
        <w:t xml:space="preserve">n extending the ISOS-P, we identified </w:t>
      </w:r>
      <w:r w:rsidR="00FE2FEE">
        <w:t xml:space="preserve">a </w:t>
      </w:r>
      <w:r w:rsidR="009C2288">
        <w:t xml:space="preserve">parsimonious </w:t>
      </w:r>
      <w:r w:rsidR="00E64C50">
        <w:t>two</w:t>
      </w:r>
      <w:r w:rsidR="005D47B5" w:rsidRPr="00E84D59">
        <w:t xml:space="preserve"> </w:t>
      </w:r>
      <w:r w:rsidR="00B87601">
        <w:t xml:space="preserve">correlated </w:t>
      </w:r>
      <w:r w:rsidR="005D47B5" w:rsidRPr="00E84D59">
        <w:t>factors</w:t>
      </w:r>
      <w:r w:rsidR="009C2288">
        <w:t xml:space="preserve"> model</w:t>
      </w:r>
      <w:r w:rsidR="00B87601">
        <w:t xml:space="preserve"> with separate </w:t>
      </w:r>
      <w:r w:rsidR="00756397">
        <w:t>Attitudes and Behaviors</w:t>
      </w:r>
      <w:r w:rsidR="00B87601">
        <w:t xml:space="preserve"> factors,</w:t>
      </w:r>
      <w:r w:rsidR="00074047">
        <w:t xml:space="preserve"> </w:t>
      </w:r>
      <w:r w:rsidR="009C2288">
        <w:t>which</w:t>
      </w:r>
      <w:r w:rsidR="00074047">
        <w:t xml:space="preserve"> fit the data </w:t>
      </w:r>
      <w:r w:rsidR="00145D25">
        <w:t xml:space="preserve">reasonably </w:t>
      </w:r>
      <w:r w:rsidR="00074047">
        <w:t>well.</w:t>
      </w:r>
      <w:r w:rsidR="005A4B2D">
        <w:t xml:space="preserve"> Unlike previous </w:t>
      </w:r>
      <w:r w:rsidR="009847A7">
        <w:t>iterations of</w:t>
      </w:r>
      <w:r w:rsidR="005A4B2D">
        <w:t xml:space="preserve"> the ISOS-P</w:t>
      </w:r>
      <w:r w:rsidR="009847A7">
        <w:t xml:space="preserve"> (i.e., Gervais et al., 2018)</w:t>
      </w:r>
      <w:r w:rsidR="005A4B2D">
        <w:t>, the revised version achieved full measurement invariance across gender</w:t>
      </w:r>
      <w:r w:rsidR="009847A7">
        <w:t xml:space="preserve"> in both samples</w:t>
      </w:r>
      <w:r w:rsidR="005A4B2D">
        <w:t>, indicating that the same latent construct</w:t>
      </w:r>
      <w:r w:rsidR="0017786A">
        <w:t xml:space="preserve"> was assessed</w:t>
      </w:r>
      <w:r w:rsidR="009847A7">
        <w:t xml:space="preserve"> in men and women. </w:t>
      </w:r>
      <w:r w:rsidR="009C2288">
        <w:t>Further</w:t>
      </w:r>
      <w:r w:rsidR="009C2288" w:rsidRPr="00FA7566">
        <w:t xml:space="preserve">, ISOP attitudes and behaviors demonstrated divergent relations with </w:t>
      </w:r>
      <w:r w:rsidR="009C2288">
        <w:t>several e</w:t>
      </w:r>
      <w:r w:rsidR="009C2288" w:rsidRPr="008F2022">
        <w:t xml:space="preserve">motional detachment variables </w:t>
      </w:r>
      <w:r w:rsidR="009C2288">
        <w:t>(e.g., coldheartedness, callousness, deficits in affective empathy)</w:t>
      </w:r>
      <w:r w:rsidR="009C2288" w:rsidRPr="008F2022">
        <w:t>, perhaps suggesting that ISOS-PR Attitudes reflects perceptual ISOP with better fidelity than ISOS-PR Behaviors.</w:t>
      </w:r>
      <w:r w:rsidR="009C2288" w:rsidRPr="00FA7566">
        <w:t xml:space="preserve"> </w:t>
      </w:r>
    </w:p>
    <w:p w14:paraId="4CF394FB" w14:textId="6F5C74B6" w:rsidR="009847A7" w:rsidRDefault="008D66C1" w:rsidP="007902C6">
      <w:pPr>
        <w:spacing w:line="480" w:lineRule="auto"/>
        <w:ind w:firstLine="720"/>
      </w:pPr>
      <w:r>
        <w:t xml:space="preserve">Results </w:t>
      </w:r>
      <w:r w:rsidR="00DC6276">
        <w:t>provided</w:t>
      </w:r>
      <w:r>
        <w:t xml:space="preserve"> </w:t>
      </w:r>
      <w:r w:rsidR="00331C41">
        <w:t>compelling</w:t>
      </w:r>
      <w:r w:rsidR="005A4B2D">
        <w:t xml:space="preserve"> support for our expectation that dark personality traits and ISOP would be highly </w:t>
      </w:r>
      <w:r w:rsidR="005B5D51">
        <w:t>associated</w:t>
      </w:r>
      <w:r w:rsidR="005A4B2D">
        <w:t xml:space="preserve">; </w:t>
      </w:r>
      <w:r w:rsidR="0010407E">
        <w:t xml:space="preserve">disinhibition and meanness, on the one hand, </w:t>
      </w:r>
      <w:r w:rsidR="00DD53C9">
        <w:t xml:space="preserve">were exceedingly statistically similar to </w:t>
      </w:r>
      <w:r w:rsidR="0010407E">
        <w:t>ISOP behaviors (and to a lesser extent IS</w:t>
      </w:r>
      <w:r w:rsidR="00DD53C9">
        <w:t>OP attitudes), on the other</w:t>
      </w:r>
      <w:r w:rsidR="00AE2C9F">
        <w:t xml:space="preserve">. </w:t>
      </w:r>
      <w:r w:rsidR="00576CDC">
        <w:t>Although the relations between coldheartedness and boldness and ISOP were smaller</w:t>
      </w:r>
      <w:r w:rsidR="00EB3464">
        <w:t xml:space="preserve"> in comparison</w:t>
      </w:r>
      <w:r w:rsidR="00576CDC">
        <w:t xml:space="preserve">, </w:t>
      </w:r>
      <w:r w:rsidR="00EB3464">
        <w:t xml:space="preserve">their </w:t>
      </w:r>
      <w:r w:rsidR="00576CDC">
        <w:t xml:space="preserve">effect sizes </w:t>
      </w:r>
      <w:r w:rsidR="00954D44">
        <w:t>still generally fell within the moderate</w:t>
      </w:r>
      <w:r w:rsidR="009847A7">
        <w:t xml:space="preserve"> </w:t>
      </w:r>
      <w:r w:rsidR="00954D44">
        <w:t>to</w:t>
      </w:r>
      <w:r w:rsidR="009847A7">
        <w:t xml:space="preserve"> </w:t>
      </w:r>
      <w:r w:rsidR="00954D44">
        <w:t>large rang</w:t>
      </w:r>
      <w:r w:rsidR="000E47A6">
        <w:t>e, per G</w:t>
      </w:r>
      <w:r w:rsidR="000E47A6" w:rsidRPr="000E47A6">
        <w:t xml:space="preserve">ignac and Szodorai’s (2016) </w:t>
      </w:r>
      <w:r w:rsidR="00FE65B6">
        <w:t xml:space="preserve">interpretive </w:t>
      </w:r>
      <w:r w:rsidR="000E47A6">
        <w:t xml:space="preserve">benchmarks. </w:t>
      </w:r>
      <w:r w:rsidR="00DD53C9">
        <w:t>T</w:t>
      </w:r>
      <w:r w:rsidR="00812680" w:rsidRPr="00E84D59">
        <w:t>hese results</w:t>
      </w:r>
      <w:r w:rsidR="00DD53C9">
        <w:t>, taken together,</w:t>
      </w:r>
      <w:r w:rsidR="00812680" w:rsidRPr="00E84D59">
        <w:t xml:space="preserve"> suggest that psychopathic </w:t>
      </w:r>
      <w:r w:rsidR="009C2288">
        <w:t xml:space="preserve">individuals are far more likely than others to engage in sexual objectification. </w:t>
      </w:r>
    </w:p>
    <w:p w14:paraId="2800613D" w14:textId="7B16FB7E" w:rsidR="00E64C50" w:rsidRDefault="00756397">
      <w:pPr>
        <w:spacing w:line="480" w:lineRule="auto"/>
        <w:ind w:firstLine="720"/>
      </w:pPr>
      <w:r>
        <w:lastRenderedPageBreak/>
        <w:t>Further, o</w:t>
      </w:r>
      <w:r w:rsidR="003D7D43" w:rsidRPr="00E84D59">
        <w:t>ur anticipation that “dark” traits in psychopathy’s</w:t>
      </w:r>
      <w:r w:rsidR="003D7D43" w:rsidRPr="00E84D59" w:rsidDel="0024728A">
        <w:t xml:space="preserve"> </w:t>
      </w:r>
      <w:r w:rsidR="003D7D43" w:rsidRPr="00E84D59">
        <w:t>nomological network would</w:t>
      </w:r>
      <w:r w:rsidR="00830629">
        <w:t xml:space="preserve"> </w:t>
      </w:r>
      <w:r w:rsidR="003D7D43" w:rsidRPr="00E84D59">
        <w:t>afford a fruitful framework for understanding and st</w:t>
      </w:r>
      <w:r w:rsidR="009C2288">
        <w:t>atistically predicting ISOP also found clear support (see also Watts, Waldman, Smith, Poore, &amp; Lilienfeld, 2015)</w:t>
      </w:r>
      <w:r w:rsidR="003D7D43" w:rsidRPr="00E84D59">
        <w:t xml:space="preserve">. </w:t>
      </w:r>
      <w:r w:rsidR="00E64C50" w:rsidRPr="00E84D59">
        <w:t xml:space="preserve">Several key </w:t>
      </w:r>
      <w:r w:rsidR="00B44206">
        <w:t xml:space="preserve">non-psychopathy </w:t>
      </w:r>
      <w:r w:rsidR="00E64C50" w:rsidRPr="00E84D59">
        <w:t xml:space="preserve">variables manifested associations with ISOP attitudes and behaviors with effect sizes that were of comparable magnitude to meanness and disinhibition, including direct sadism, low affective empathy, psychological entitlement, antagonism, </w:t>
      </w:r>
      <w:r w:rsidR="00E64C50" w:rsidRPr="009C2288">
        <w:t>psychoticism,</w:t>
      </w:r>
      <w:r w:rsidR="00E64C50" w:rsidRPr="00E84D59">
        <w:t xml:space="preserve"> certain impulsigenic traits, low conscientiousness, and low honesty-humility.</w:t>
      </w:r>
      <w:r w:rsidR="00E64C50" w:rsidRPr="00E84D59" w:rsidDel="00C133FA">
        <w:t xml:space="preserve"> </w:t>
      </w:r>
      <w:r w:rsidR="00C133FA">
        <w:t>L</w:t>
      </w:r>
      <w:r w:rsidR="00E64C50" w:rsidRPr="00E84D59">
        <w:t>ow openness, low agreeableness, grandiose and vulnerable narcissism, detachment, and cognitive empathy manifested sizeable, if smaller, associations with ISOP attitudes and behavior</w:t>
      </w:r>
      <w:r w:rsidR="009C2288">
        <w:t xml:space="preserve">. </w:t>
      </w:r>
    </w:p>
    <w:p w14:paraId="109E3C54" w14:textId="249E5375" w:rsidR="009C2288" w:rsidRDefault="009C4A6C" w:rsidP="00A90724">
      <w:pPr>
        <w:spacing w:line="480" w:lineRule="auto"/>
        <w:ind w:firstLine="720"/>
      </w:pPr>
      <w:r>
        <w:t>A</w:t>
      </w:r>
      <w:r w:rsidR="00C34421" w:rsidRPr="008F2022">
        <w:t xml:space="preserve">ttitudes supportive of sexual aggression are far more widespread than sexual aggression </w:t>
      </w:r>
      <w:r w:rsidR="00760CE9" w:rsidRPr="00760CE9">
        <w:t>itself</w:t>
      </w:r>
      <w:r w:rsidR="00760CE9">
        <w:t xml:space="preserve"> and</w:t>
      </w:r>
      <w:r>
        <w:t xml:space="preserve"> </w:t>
      </w:r>
      <w:r w:rsidR="00C34421" w:rsidRPr="008F2022">
        <w:t xml:space="preserve">identifying </w:t>
      </w:r>
      <w:r w:rsidR="00760CE9">
        <w:t>predictors</w:t>
      </w:r>
      <w:r w:rsidR="00C34421" w:rsidRPr="008F2022">
        <w:t xml:space="preserve"> for ISOP </w:t>
      </w:r>
      <w:r>
        <w:t>attitude-behavior concordance</w:t>
      </w:r>
      <w:r w:rsidR="00C34421" w:rsidRPr="008F2022">
        <w:t xml:space="preserve"> may</w:t>
      </w:r>
      <w:r w:rsidR="00DD53C9">
        <w:t>,</w:t>
      </w:r>
      <w:r w:rsidR="00C34421" w:rsidRPr="008F2022">
        <w:t xml:space="preserve"> </w:t>
      </w:r>
      <w:r>
        <w:t>therefore</w:t>
      </w:r>
      <w:r w:rsidR="00DD53C9">
        <w:t>,</w:t>
      </w:r>
      <w:r>
        <w:t xml:space="preserve"> </w:t>
      </w:r>
      <w:r w:rsidR="00C34421" w:rsidRPr="008F2022">
        <w:t xml:space="preserve">be </w:t>
      </w:r>
      <w:r w:rsidR="00350CCD">
        <w:t>of practical utility</w:t>
      </w:r>
      <w:r w:rsidR="00452615">
        <w:t xml:space="preserve"> (e.g., Flood &amp; Pease, 2009)</w:t>
      </w:r>
      <w:r w:rsidR="00C34421" w:rsidRPr="008F2022">
        <w:t xml:space="preserve">. </w:t>
      </w:r>
      <w:r w:rsidR="00760CE9">
        <w:t xml:space="preserve">To that end, </w:t>
      </w:r>
      <w:r w:rsidR="00452615">
        <w:t>St</w:t>
      </w:r>
      <w:r w:rsidR="003D7D43" w:rsidRPr="0015543B">
        <w:t xml:space="preserve">udies 1 and 2 yielded qualified support for our hypothesis that various psychopathic traits would potentiate the relation between ISOP attitudes and ISOP behaviors. </w:t>
      </w:r>
      <w:r w:rsidR="00EA2F07" w:rsidRPr="008F2022">
        <w:t>In both samples, meanness</w:t>
      </w:r>
      <w:r w:rsidR="00A44D02">
        <w:t>, disinhibition, and self-centered impulsivity predicted ISOP attitude-behavior concordance</w:t>
      </w:r>
      <w:r w:rsidR="000B1249">
        <w:t>. This underscores</w:t>
      </w:r>
      <w:r w:rsidR="00A44D02">
        <w:t xml:space="preserve"> the possibility that </w:t>
      </w:r>
      <w:r w:rsidR="00A7795C">
        <w:t xml:space="preserve">psychopathic traits </w:t>
      </w:r>
      <w:r w:rsidR="009C2288">
        <w:t>increase the likelihood of ISOP attitudes, which are likely relatively commonplace, accompanying ISOP behaviors, which are presumably less commonplace</w:t>
      </w:r>
      <w:r w:rsidR="000B1249">
        <w:t>. At the same time, these effects were relatively small in magnitud</w:t>
      </w:r>
      <w:r w:rsidR="000F7B9B">
        <w:t>e, and as such are potentially more theoretically rather than practically important</w:t>
      </w:r>
      <w:r w:rsidR="000B1249">
        <w:t>.</w:t>
      </w:r>
    </w:p>
    <w:p w14:paraId="25302E26" w14:textId="61EED649" w:rsidR="00F07421" w:rsidRDefault="00F47B4C" w:rsidP="008F2022">
      <w:pPr>
        <w:spacing w:line="480" w:lineRule="auto"/>
      </w:pPr>
      <w:r>
        <w:tab/>
        <w:t xml:space="preserve">Findings for gender moderation were more </w:t>
      </w:r>
      <w:r w:rsidR="006D393F">
        <w:t xml:space="preserve">mixed </w:t>
      </w:r>
      <w:r w:rsidR="00DD53C9">
        <w:t xml:space="preserve">and modest </w:t>
      </w:r>
      <w:r>
        <w:t>by comparison.</w:t>
      </w:r>
      <w:r w:rsidR="0052691A">
        <w:t xml:space="preserve"> </w:t>
      </w:r>
      <w:r w:rsidR="00561A91">
        <w:t xml:space="preserve">Given that prescriptive norms for ISOP </w:t>
      </w:r>
      <w:r w:rsidR="002152C1">
        <w:t>almost certainly differ for men and women,</w:t>
      </w:r>
      <w:r w:rsidR="006D393F">
        <w:t xml:space="preserve"> we anticipated that psychopathic traits</w:t>
      </w:r>
      <w:r w:rsidR="002152C1">
        <w:t xml:space="preserve"> wou</w:t>
      </w:r>
      <w:r w:rsidR="006D393F">
        <w:t>ld be</w:t>
      </w:r>
      <w:r w:rsidR="002152C1">
        <w:t xml:space="preserve"> </w:t>
      </w:r>
      <w:r w:rsidR="00A64DDB">
        <w:t xml:space="preserve">stronger </w:t>
      </w:r>
      <w:r w:rsidR="002152C1">
        <w:t>predictor</w:t>
      </w:r>
      <w:r w:rsidR="006D393F">
        <w:t>s</w:t>
      </w:r>
      <w:r w:rsidR="002152C1">
        <w:t xml:space="preserve"> </w:t>
      </w:r>
      <w:r w:rsidR="00A64DDB">
        <w:t xml:space="preserve">of ISOP in women than in men. </w:t>
      </w:r>
      <w:r w:rsidR="00A02C5E">
        <w:t xml:space="preserve">Only one set of findings that replicated across Studies 1 and 2 were consistent with this hypothesis. Specifically, </w:t>
      </w:r>
      <w:r w:rsidR="00A02C5E">
        <w:lastRenderedPageBreak/>
        <w:t xml:space="preserve">Fearless Dominance was more strongly associated with ISOP </w:t>
      </w:r>
      <w:r w:rsidR="003C3B9D">
        <w:t>Behaviors</w:t>
      </w:r>
      <w:r w:rsidR="00A02C5E">
        <w:t xml:space="preserve"> in women compared with men</w:t>
      </w:r>
      <w:r w:rsidR="00FC1C54">
        <w:t xml:space="preserve"> (se</w:t>
      </w:r>
      <w:r w:rsidR="00A76A1B">
        <w:t>e also Watts et al., 2017)</w:t>
      </w:r>
      <w:r w:rsidR="00A02C5E">
        <w:t xml:space="preserve">. </w:t>
      </w:r>
      <w:r w:rsidR="00DD53C9">
        <w:t>O</w:t>
      </w:r>
      <w:r w:rsidR="00295BE7">
        <w:t xml:space="preserve">ther, more mixed findings did not replicate across studies. </w:t>
      </w:r>
      <w:r w:rsidR="00783A78">
        <w:t xml:space="preserve">In either Study 1 or Study 2 (but not both), </w:t>
      </w:r>
      <w:r w:rsidR="00A76A1B">
        <w:t xml:space="preserve">fearless dominance, </w:t>
      </w:r>
      <w:r w:rsidR="00042949">
        <w:t>boldness</w:t>
      </w:r>
      <w:r w:rsidR="00DD53C9">
        <w:t>,</w:t>
      </w:r>
      <w:r w:rsidR="00042949">
        <w:t xml:space="preserve"> </w:t>
      </w:r>
      <w:r w:rsidR="001B5664">
        <w:t xml:space="preserve">and </w:t>
      </w:r>
      <w:r w:rsidR="001A5A45">
        <w:t>meanness</w:t>
      </w:r>
      <w:r w:rsidR="00964049">
        <w:t xml:space="preserve"> were </w:t>
      </w:r>
      <w:r w:rsidR="00A64DDB">
        <w:t xml:space="preserve">indeed </w:t>
      </w:r>
      <w:r w:rsidR="00042949">
        <w:t>stronger</w:t>
      </w:r>
      <w:r w:rsidR="00964049">
        <w:t xml:space="preserve"> predictors </w:t>
      </w:r>
      <w:r w:rsidR="00042949">
        <w:t>of ISOP attitudes in women</w:t>
      </w:r>
      <w:r w:rsidR="006D393F">
        <w:t>. S</w:t>
      </w:r>
      <w:r w:rsidR="00A7795C">
        <w:t>imilarly</w:t>
      </w:r>
      <w:r w:rsidR="00A76A1B">
        <w:t>, in either Study 1 or Study 2 (but not both)</w:t>
      </w:r>
      <w:r w:rsidR="00A7795C">
        <w:t>, self-centered impulsivity, meanness, and boldness were stronger predictors of ISOP behaviors in women.</w:t>
      </w:r>
      <w:r w:rsidR="00042949">
        <w:t xml:space="preserve"> </w:t>
      </w:r>
      <w:r w:rsidR="00A7795C">
        <w:t>Y</w:t>
      </w:r>
      <w:r w:rsidR="00A64DDB">
        <w:t>et</w:t>
      </w:r>
      <w:r w:rsidR="00A7795C">
        <w:t xml:space="preserve"> </w:t>
      </w:r>
      <w:r w:rsidR="00F07421">
        <w:t>contrary to our hypothesis</w:t>
      </w:r>
      <w:r w:rsidR="00783A78">
        <w:t>,</w:t>
      </w:r>
      <w:r w:rsidR="00116F5D">
        <w:t xml:space="preserve"> in Study 2</w:t>
      </w:r>
      <w:r w:rsidR="00A7795C">
        <w:t>,</w:t>
      </w:r>
      <w:r w:rsidR="00116F5D">
        <w:t xml:space="preserve"> </w:t>
      </w:r>
      <w:r w:rsidR="00212E58">
        <w:t>self-centered impulsivity and disinhibition</w:t>
      </w:r>
      <w:r w:rsidR="00133EBB">
        <w:t xml:space="preserve"> </w:t>
      </w:r>
      <w:r w:rsidR="00783A78">
        <w:t>were stronger predictors of ISOP attitudes in men</w:t>
      </w:r>
      <w:r w:rsidR="00212E58">
        <w:t xml:space="preserve">. </w:t>
      </w:r>
      <w:r w:rsidR="00F07421">
        <w:t>Given these conceptually contradictory findings</w:t>
      </w:r>
      <w:r w:rsidR="006D393F">
        <w:t xml:space="preserve"> and </w:t>
      </w:r>
      <w:r w:rsidR="00885C8D">
        <w:t xml:space="preserve">our </w:t>
      </w:r>
      <w:r w:rsidR="006D393F">
        <w:t xml:space="preserve">failure to replicate </w:t>
      </w:r>
      <w:r w:rsidR="00885C8D">
        <w:t>many</w:t>
      </w:r>
      <w:r w:rsidR="006D393F">
        <w:t xml:space="preserve"> findings</w:t>
      </w:r>
      <w:r w:rsidR="00F07421">
        <w:t xml:space="preserve">, </w:t>
      </w:r>
      <w:r w:rsidR="006D393F">
        <w:t xml:space="preserve">these </w:t>
      </w:r>
      <w:r w:rsidR="00F07421">
        <w:t>results</w:t>
      </w:r>
      <w:r w:rsidR="007375E5">
        <w:t xml:space="preserve">, </w:t>
      </w:r>
      <w:r w:rsidR="00DD53C9">
        <w:t xml:space="preserve">excepting </w:t>
      </w:r>
      <w:r w:rsidR="007375E5">
        <w:t>those for fearless dominance and ISOP Behaviors,</w:t>
      </w:r>
      <w:r w:rsidR="00F07421">
        <w:t xml:space="preserve"> should be interpreted with caution.  </w:t>
      </w:r>
    </w:p>
    <w:p w14:paraId="2D75B1E9" w14:textId="327B9C62" w:rsidR="00F103BF" w:rsidRPr="00E84D59" w:rsidRDefault="00F07421" w:rsidP="00F103BF">
      <w:pPr>
        <w:spacing w:line="480" w:lineRule="auto"/>
        <w:ind w:firstLine="720"/>
      </w:pPr>
      <w:r>
        <w:t>W</w:t>
      </w:r>
      <w:r w:rsidR="006F58CA">
        <w:t xml:space="preserve">e unexpectedly found that </w:t>
      </w:r>
      <w:r w:rsidR="00F103BF" w:rsidRPr="00E84D59">
        <w:t>when either the TriPM or PPI-R dimensions were entered simultaneously into a multiple regression, TriPM Disinhibition and PPI-R Self-centered Impulsivity</w:t>
      </w:r>
      <w:r w:rsidR="005F46F2">
        <w:t>, respectively, were the</w:t>
      </w:r>
      <w:r w:rsidR="00F103BF" w:rsidRPr="00E84D59">
        <w:t xml:space="preserve"> </w:t>
      </w:r>
      <w:r w:rsidR="005F46F2">
        <w:t>most</w:t>
      </w:r>
      <w:r w:rsidR="00DC27CD" w:rsidRPr="00E84D59">
        <w:t xml:space="preserve"> strongly associated with</w:t>
      </w:r>
      <w:r w:rsidR="00F103BF" w:rsidRPr="00E84D59">
        <w:t xml:space="preserve"> ISOS-PR Behaviors, whereas TriPM Meanness, but not PPI-R Coldheartedness, </w:t>
      </w:r>
      <w:r w:rsidR="005F46F2">
        <w:t>were the most</w:t>
      </w:r>
      <w:r w:rsidR="00DC27CD" w:rsidRPr="00E84D59">
        <w:t xml:space="preserve"> strongly associated with</w:t>
      </w:r>
      <w:r w:rsidR="00F103BF" w:rsidRPr="00E84D59">
        <w:t xml:space="preserve"> ISOS-PR Attitudes. Differences in content coverage of active antagonism and entitlement, which are subsumed by meanness but not coldheartedness, may underlie this disparity. More specifically, given both the interpersonal nature of ISOP and theory that has described personality disorders as conditions of malignant interpersonal dysfunction (Lilienfeld et al., </w:t>
      </w:r>
      <w:r w:rsidR="006467D6">
        <w:t>2019</w:t>
      </w:r>
      <w:r w:rsidR="00F103BF" w:rsidRPr="00E84D59">
        <w:t>; Wilson, Stroud, &amp; Durbin, 2017)</w:t>
      </w:r>
      <w:r w:rsidR="00C04B65">
        <w:t>,</w:t>
      </w:r>
      <w:r w:rsidR="00F103BF" w:rsidRPr="00E84D59">
        <w:t xml:space="preserve"> we venture that ISOP behaviors </w:t>
      </w:r>
      <w:r w:rsidR="0004535A" w:rsidRPr="00E84D59">
        <w:t>may be</w:t>
      </w:r>
      <w:r w:rsidR="00F103BF" w:rsidRPr="00E84D59">
        <w:t xml:space="preserve"> partial expressions of hostile interpersonal dominance (Lang, 2010; see also Bloom, 2018) rather than a sense of disbelief concerning victims</w:t>
      </w:r>
      <w:r>
        <w:t>’</w:t>
      </w:r>
      <w:r w:rsidR="00F103BF" w:rsidRPr="00E84D59">
        <w:t xml:space="preserve"> autonomy and personhood. </w:t>
      </w:r>
      <w:r w:rsidR="0004535A" w:rsidRPr="00E84D59">
        <w:t xml:space="preserve">It </w:t>
      </w:r>
      <w:r w:rsidR="00D305E1" w:rsidRPr="00E84D59">
        <w:t xml:space="preserve">would </w:t>
      </w:r>
      <w:r w:rsidR="0004535A" w:rsidRPr="00E84D59">
        <w:t xml:space="preserve">follow that </w:t>
      </w:r>
      <w:r w:rsidR="00C84BAF" w:rsidRPr="00E84D59">
        <w:t xml:space="preserve">most </w:t>
      </w:r>
      <w:r w:rsidR="002F1C93">
        <w:t xml:space="preserve">perpetrators of sexual objectification are </w:t>
      </w:r>
      <w:r w:rsidR="00C708EE">
        <w:t>“</w:t>
      </w:r>
      <w:r w:rsidR="002F1C93">
        <w:t>sexual sadists</w:t>
      </w:r>
      <w:r w:rsidR="00C708EE">
        <w:t>”</w:t>
      </w:r>
      <w:r w:rsidR="002F1C93">
        <w:t xml:space="preserve"> rather than </w:t>
      </w:r>
      <w:r w:rsidR="00C708EE">
        <w:t>“</w:t>
      </w:r>
      <w:r w:rsidR="002F1C93">
        <w:t>sexual solipsists.</w:t>
      </w:r>
      <w:r w:rsidR="00C708EE">
        <w:t>”</w:t>
      </w:r>
      <w:r w:rsidR="002F1C93">
        <w:t xml:space="preserve"> </w:t>
      </w:r>
      <w:r w:rsidR="00F103BF" w:rsidRPr="00E84D59">
        <w:t xml:space="preserve"> </w:t>
      </w:r>
    </w:p>
    <w:p w14:paraId="2E713464" w14:textId="1B96D4F4" w:rsidR="00707550" w:rsidRPr="00E84D59" w:rsidRDefault="004032F5" w:rsidP="00174913">
      <w:pPr>
        <w:spacing w:line="480" w:lineRule="auto"/>
      </w:pPr>
      <w:r w:rsidRPr="00E84D59">
        <w:rPr>
          <w:b/>
        </w:rPr>
        <w:t xml:space="preserve">Limitations </w:t>
      </w:r>
      <w:r w:rsidR="006877BC" w:rsidRPr="00E84D59">
        <w:rPr>
          <w:b/>
        </w:rPr>
        <w:t>and Future Directions</w:t>
      </w:r>
    </w:p>
    <w:p w14:paraId="4EE6EF4B" w14:textId="5E4E01B9" w:rsidR="00A23CE6" w:rsidRPr="00E84D59" w:rsidRDefault="00A7795C" w:rsidP="00885C8D">
      <w:pPr>
        <w:spacing w:line="480" w:lineRule="auto"/>
        <w:ind w:firstLine="720"/>
      </w:pPr>
      <w:r w:rsidRPr="004B73B9">
        <w:lastRenderedPageBreak/>
        <w:t xml:space="preserve">Although there is reason to doubt that method variance across self-report measures invariably leads to </w:t>
      </w:r>
      <w:r>
        <w:t xml:space="preserve">outsized measurement error or </w:t>
      </w:r>
      <w:r w:rsidRPr="004B73B9">
        <w:t>inflated correlations (</w:t>
      </w:r>
      <w:r>
        <w:t xml:space="preserve">e.g., </w:t>
      </w:r>
      <w:r w:rsidRPr="004B73B9">
        <w:t>Spector, 2006)</w:t>
      </w:r>
      <w:r>
        <w:t>, o</w:t>
      </w:r>
      <w:r w:rsidR="00D706E3" w:rsidRPr="00E84D59">
        <w:t xml:space="preserve">ur </w:t>
      </w:r>
      <w:r w:rsidR="00EA6910" w:rsidRPr="00E84D59">
        <w:t xml:space="preserve">reliance on </w:t>
      </w:r>
      <w:r w:rsidR="00D706E3" w:rsidRPr="00E84D59">
        <w:t xml:space="preserve">self-report measures </w:t>
      </w:r>
      <w:r w:rsidR="00EA6910" w:rsidRPr="00E84D59">
        <w:t xml:space="preserve">raises </w:t>
      </w:r>
      <w:r w:rsidR="00732E38" w:rsidRPr="00E84D59">
        <w:t>the specter of</w:t>
      </w:r>
      <w:r w:rsidR="00D706E3" w:rsidRPr="00E84D59">
        <w:t xml:space="preserve"> mono-method bias. </w:t>
      </w:r>
      <w:r w:rsidR="00DA6FA8" w:rsidRPr="00E84D59">
        <w:t>F</w:t>
      </w:r>
      <w:r w:rsidR="00DD71EF" w:rsidRPr="00E84D59">
        <w:t xml:space="preserve">uture research </w:t>
      </w:r>
      <w:r w:rsidR="00DA6FA8" w:rsidRPr="00E84D59">
        <w:t>should incorporate other indicators of personality</w:t>
      </w:r>
      <w:r w:rsidR="006F2BA4" w:rsidRPr="00E84D59">
        <w:t xml:space="preserve"> </w:t>
      </w:r>
      <w:r w:rsidR="00DA6FA8" w:rsidRPr="00E84D59">
        <w:t xml:space="preserve">and ISOP, </w:t>
      </w:r>
      <w:r w:rsidR="006F2BA4" w:rsidRPr="00E84D59">
        <w:t xml:space="preserve">such as informant reports, </w:t>
      </w:r>
      <w:r w:rsidR="00115358">
        <w:t xml:space="preserve">which may avoid issues of social desirability; eye-tracking paradigms (e.g., Gervais, Holland, &amp; Dodd, 2013), which </w:t>
      </w:r>
      <w:r w:rsidR="00C74F72">
        <w:t>may</w:t>
      </w:r>
      <w:r w:rsidR="00115358">
        <w:t xml:space="preserve"> allow researchers to parse objectifying behaviors (e.g., leering gazes) from more severe forms of sexual aggression; as well as diary-based measures and ecologi</w:t>
      </w:r>
      <w:r w:rsidR="00C74F72">
        <w:t>cal momentary assessment, which</w:t>
      </w:r>
      <w:r w:rsidR="00115358">
        <w:t xml:space="preserve"> </w:t>
      </w:r>
      <w:r w:rsidR="00C74F72">
        <w:t xml:space="preserve">would allow for the </w:t>
      </w:r>
      <w:r w:rsidR="00115358">
        <w:t xml:space="preserve">tracking </w:t>
      </w:r>
      <w:r w:rsidR="00C74F72">
        <w:t xml:space="preserve">of </w:t>
      </w:r>
      <w:r w:rsidR="00115358">
        <w:t xml:space="preserve">observed or reported sexual objectification behaviors in real-time. Employing these methods would also allow for further construct validational tests of the ISOS-PR. </w:t>
      </w:r>
      <w:r w:rsidR="00115358" w:rsidRPr="00E84D59">
        <w:t xml:space="preserve">To delineate the boundary conditions of our findings, future work should </w:t>
      </w:r>
      <w:r w:rsidR="00115358">
        <w:t xml:space="preserve">also </w:t>
      </w:r>
      <w:r w:rsidR="00115358" w:rsidRPr="00E84D59">
        <w:t>examine their generalizability to other samples and settings</w:t>
      </w:r>
      <w:r w:rsidR="00115358">
        <w:t xml:space="preserve"> (e.g., low and high SES, professional environments)</w:t>
      </w:r>
      <w:r w:rsidR="00115358" w:rsidRPr="00E84D59">
        <w:t xml:space="preserve">. </w:t>
      </w:r>
      <w:r w:rsidR="00115358">
        <w:t>Indeed, a</w:t>
      </w:r>
      <w:r w:rsidR="00115358" w:rsidRPr="00E84D59">
        <w:t xml:space="preserve">lthough recent media reports of sexual objectification and misconduct have focused on celebrities, athletes, politicians, and other well-known individuals, malignant forms of sexual objectification are likely to extend to all sectors of society. </w:t>
      </w:r>
      <w:r w:rsidR="00115358">
        <w:t>Here, for instance, we demonstrate that interpersonal sexual objectification can be reliably and validly assessed among US community members. Relatedly</w:t>
      </w:r>
      <w:r w:rsidR="00115358" w:rsidRPr="00E84D59" w:rsidDel="00227446">
        <w:t xml:space="preserve">, </w:t>
      </w:r>
      <w:r w:rsidR="00115358" w:rsidRPr="00E84D59">
        <w:t>with the rise of popular movements such as #MeToo</w:t>
      </w:r>
      <w:r w:rsidR="00115358">
        <w:t xml:space="preserve"> (</w:t>
      </w:r>
      <w:r w:rsidR="00115358" w:rsidRPr="00C04861">
        <w:t>https://metoomvmt.org/</w:t>
      </w:r>
      <w:r w:rsidR="00115358">
        <w:t>)</w:t>
      </w:r>
      <w:r w:rsidR="00115358" w:rsidRPr="00E84D59">
        <w:t xml:space="preserve">, the social and practical costs of perpetrating objectifying behaviors may be rapidly expanding, leading to a concomitant separation between the prevalence of ISOP attitudes and ISOP behaviors. </w:t>
      </w:r>
      <w:r w:rsidR="00115358">
        <w:t>As such, p</w:t>
      </w:r>
      <w:r w:rsidR="00115358" w:rsidRPr="00E84D59">
        <w:t>sychopathic traits</w:t>
      </w:r>
      <w:r w:rsidR="00115358">
        <w:t xml:space="preserve"> </w:t>
      </w:r>
      <w:r w:rsidR="00115358" w:rsidRPr="00E84D59">
        <w:t xml:space="preserve">may become increasingly predictive </w:t>
      </w:r>
      <w:r w:rsidR="00115358">
        <w:t xml:space="preserve">of </w:t>
      </w:r>
      <w:r w:rsidR="00115358" w:rsidRPr="00E84D59">
        <w:t>attitude</w:t>
      </w:r>
      <w:r w:rsidR="00115358">
        <w:t>-</w:t>
      </w:r>
      <w:r w:rsidR="00115358" w:rsidRPr="00E84D59">
        <w:t>behavior</w:t>
      </w:r>
      <w:r w:rsidR="00115358">
        <w:t xml:space="preserve"> concordance</w:t>
      </w:r>
      <w:r w:rsidR="00115358" w:rsidRPr="00E84D59">
        <w:t xml:space="preserve"> </w:t>
      </w:r>
      <w:r w:rsidR="00115358">
        <w:t>with shifting social norms</w:t>
      </w:r>
      <w:r w:rsidR="00780CBE">
        <w:t>. R</w:t>
      </w:r>
      <w:r w:rsidR="00115358">
        <w:t xml:space="preserve">esearch </w:t>
      </w:r>
      <w:r w:rsidR="00780CBE">
        <w:t xml:space="preserve">conducted in cultures that carry strong norms against ISOP (e.g., those with religious prohibitions against ISOP, see Loughnan et al., 2015) may shed further light on potential causal mechanisms by which psychopathic traits facilitate sexual objectification. </w:t>
      </w:r>
    </w:p>
    <w:p w14:paraId="48BB2DE0" w14:textId="77777777" w:rsidR="009C2288" w:rsidRDefault="00737D25" w:rsidP="009C2288">
      <w:pPr>
        <w:spacing w:after="160" w:line="254" w:lineRule="auto"/>
        <w:jc w:val="center"/>
        <w:rPr>
          <w:b/>
        </w:rPr>
      </w:pPr>
      <w:r w:rsidRPr="00E84D59">
        <w:rPr>
          <w:b/>
        </w:rPr>
        <w:br w:type="page"/>
      </w:r>
      <w:r w:rsidR="009C2288">
        <w:rPr>
          <w:b/>
        </w:rPr>
        <w:lastRenderedPageBreak/>
        <w:t>References</w:t>
      </w:r>
    </w:p>
    <w:p w14:paraId="4FDBBD78" w14:textId="77777777" w:rsidR="009C2288" w:rsidRDefault="009C2288" w:rsidP="009C2288">
      <w:pPr>
        <w:widowControl w:val="0"/>
        <w:autoSpaceDE w:val="0"/>
        <w:autoSpaceDN w:val="0"/>
        <w:adjustRightInd w:val="0"/>
        <w:spacing w:line="480" w:lineRule="auto"/>
        <w:ind w:left="720" w:right="-720" w:hanging="720"/>
        <w:rPr>
          <w:rFonts w:eastAsia="Calibri"/>
        </w:rPr>
      </w:pPr>
      <w:r>
        <w:t xml:space="preserve">Ackerman, R. A., Witt, E. A., Donnellan, M. B., Trzesniewski, K. H., Robins, R. W., &amp; Kashy, D. A. (2011). What does the narcissistic personality inventory really measure? </w:t>
      </w:r>
      <w:r>
        <w:rPr>
          <w:i/>
          <w:iCs/>
        </w:rPr>
        <w:t>Assessment, 18</w:t>
      </w:r>
      <w:r>
        <w:t xml:space="preserve">, 67-87. </w:t>
      </w:r>
    </w:p>
    <w:p w14:paraId="3C008F4B" w14:textId="77777777" w:rsidR="009C2288" w:rsidRDefault="009C2288" w:rsidP="009C2288">
      <w:pPr>
        <w:widowControl w:val="0"/>
        <w:autoSpaceDE w:val="0"/>
        <w:autoSpaceDN w:val="0"/>
        <w:adjustRightInd w:val="0"/>
        <w:spacing w:line="480" w:lineRule="auto"/>
        <w:ind w:left="720" w:right="-720" w:hanging="720"/>
      </w:pPr>
      <w:r>
        <w:t xml:space="preserve">Ajzen, I. (2001). Nature and Operation of Attitudes. </w:t>
      </w:r>
      <w:r>
        <w:rPr>
          <w:i/>
          <w:iCs/>
        </w:rPr>
        <w:t>Annual Review of Psychology, 52</w:t>
      </w:r>
      <w:r>
        <w:t xml:space="preserve">, 27-58. </w:t>
      </w:r>
    </w:p>
    <w:p w14:paraId="7C85FCE5" w14:textId="77777777" w:rsidR="009C2288" w:rsidRDefault="009C2288" w:rsidP="009C2288">
      <w:pPr>
        <w:widowControl w:val="0"/>
        <w:autoSpaceDE w:val="0"/>
        <w:autoSpaceDN w:val="0"/>
        <w:adjustRightInd w:val="0"/>
        <w:spacing w:line="480" w:lineRule="auto"/>
        <w:ind w:left="720" w:right="-720" w:hanging="720"/>
      </w:pPr>
      <w:r>
        <w:t xml:space="preserve">Berg, J. M. (2016). </w:t>
      </w:r>
      <w:r>
        <w:rPr>
          <w:i/>
          <w:iCs/>
        </w:rPr>
        <w:t xml:space="preserve">The Heterogeneous Roles of the UPPS-P Impulsivity Pathways Across Features of Psychopathology. </w:t>
      </w:r>
      <w:r>
        <w:rPr>
          <w:iCs/>
        </w:rPr>
        <w:t>(</w:t>
      </w:r>
      <w:r>
        <w:t xml:space="preserve">Unpublished doctoral dissertation). Emory University, Atlanta, Georgia.   </w:t>
      </w:r>
    </w:p>
    <w:p w14:paraId="3B43D66D" w14:textId="77777777" w:rsidR="009C2288" w:rsidRDefault="009C2288" w:rsidP="009C2288">
      <w:pPr>
        <w:widowControl w:val="0"/>
        <w:autoSpaceDE w:val="0"/>
        <w:autoSpaceDN w:val="0"/>
        <w:adjustRightInd w:val="0"/>
        <w:spacing w:line="480" w:lineRule="auto"/>
        <w:ind w:left="720" w:right="-720" w:hanging="720"/>
      </w:pPr>
      <w:r>
        <w:t>Bevens, C. L., &amp; Loughnan, S. (2019). Insights into Men’s Sexual Aggression Toward Women: Dehumanization and Objectification. </w:t>
      </w:r>
      <w:r>
        <w:rPr>
          <w:i/>
          <w:iCs/>
        </w:rPr>
        <w:t>Sex Roles</w:t>
      </w:r>
      <w:r>
        <w:t xml:space="preserve">, </w:t>
      </w:r>
      <w:r>
        <w:rPr>
          <w:i/>
        </w:rPr>
        <w:t>1</w:t>
      </w:r>
      <w:r>
        <w:t xml:space="preserve">, 1-18. </w:t>
      </w:r>
    </w:p>
    <w:p w14:paraId="3485E98B" w14:textId="77777777" w:rsidR="009C2288" w:rsidRDefault="009C2288" w:rsidP="009C2288">
      <w:pPr>
        <w:widowControl w:val="0"/>
        <w:autoSpaceDE w:val="0"/>
        <w:autoSpaceDN w:val="0"/>
        <w:adjustRightInd w:val="0"/>
        <w:spacing w:line="480" w:lineRule="auto"/>
        <w:ind w:left="720" w:right="-720" w:hanging="720"/>
      </w:pPr>
      <w:r>
        <w:t xml:space="preserve">Blonigen, D. M., Hicks, B. M., Krueger, R. F., Patrick, C. J., &amp; Iacono, W. G. (2005). Psychopathic personality traits: Heritability and genetic overlap with internalizing and externalizing psychopathology. </w:t>
      </w:r>
      <w:r>
        <w:rPr>
          <w:i/>
          <w:iCs/>
        </w:rPr>
        <w:t>Psychological Medicine, 35</w:t>
      </w:r>
      <w:r>
        <w:t xml:space="preserve">, 637-648. </w:t>
      </w:r>
    </w:p>
    <w:p w14:paraId="105D3A16" w14:textId="77777777" w:rsidR="009C2288" w:rsidRDefault="009C2288" w:rsidP="009C2288">
      <w:pPr>
        <w:widowControl w:val="0"/>
        <w:autoSpaceDE w:val="0"/>
        <w:autoSpaceDN w:val="0"/>
        <w:adjustRightInd w:val="0"/>
        <w:spacing w:line="480" w:lineRule="auto"/>
        <w:ind w:left="720" w:right="-720" w:hanging="720"/>
      </w:pPr>
      <w:r>
        <w:t xml:space="preserve">Bloom, P. (2018, November 27th). Beastly. </w:t>
      </w:r>
      <w:r>
        <w:rPr>
          <w:i/>
          <w:iCs/>
        </w:rPr>
        <w:t>New Yorker, XCIII</w:t>
      </w:r>
      <w:r>
        <w:t>.</w:t>
      </w:r>
    </w:p>
    <w:p w14:paraId="638A277F" w14:textId="77777777" w:rsidR="009C2288" w:rsidRDefault="009C2288" w:rsidP="009C2288">
      <w:pPr>
        <w:widowControl w:val="0"/>
        <w:autoSpaceDE w:val="0"/>
        <w:autoSpaceDN w:val="0"/>
        <w:adjustRightInd w:val="0"/>
        <w:spacing w:line="480" w:lineRule="auto"/>
        <w:ind w:left="720" w:right="-720" w:hanging="720"/>
      </w:pPr>
      <w:r>
        <w:t xml:space="preserve">Cale, E. M., &amp; Lilienfeld, S. O. (2002). Sex differences in psychopathy and antisocial personality disorder: A review and integration. </w:t>
      </w:r>
      <w:r>
        <w:rPr>
          <w:i/>
        </w:rPr>
        <w:t>Clinical Psychology Review</w:t>
      </w:r>
      <w:r>
        <w:t>, 22, 1179-1207.</w:t>
      </w:r>
    </w:p>
    <w:p w14:paraId="461A143E" w14:textId="77777777" w:rsidR="009C2288" w:rsidRDefault="009C2288" w:rsidP="009C2288">
      <w:pPr>
        <w:widowControl w:val="0"/>
        <w:autoSpaceDE w:val="0"/>
        <w:autoSpaceDN w:val="0"/>
        <w:adjustRightInd w:val="0"/>
        <w:spacing w:line="480" w:lineRule="auto"/>
        <w:ind w:left="720" w:right="-720" w:hanging="720"/>
      </w:pPr>
      <w:r>
        <w:t xml:space="preserve">Campbell, W. K., Bonacci, A. M., Shelton, J., Exline, J. J., &amp; Bushman, B. J. (2004). Psychological entitlement: Interpersonal consequences and validation of a self-report measure. </w:t>
      </w:r>
      <w:r>
        <w:rPr>
          <w:i/>
          <w:iCs/>
        </w:rPr>
        <w:t>Journal of Personality Assessment, 83</w:t>
      </w:r>
      <w:r>
        <w:t xml:space="preserve">, 29-45. </w:t>
      </w:r>
    </w:p>
    <w:p w14:paraId="718777F2" w14:textId="77777777" w:rsidR="009C2288" w:rsidRDefault="009C2288" w:rsidP="009C2288">
      <w:pPr>
        <w:widowControl w:val="0"/>
        <w:autoSpaceDE w:val="0"/>
        <w:autoSpaceDN w:val="0"/>
        <w:adjustRightInd w:val="0"/>
        <w:spacing w:line="480" w:lineRule="auto"/>
        <w:ind w:left="720" w:right="-720" w:hanging="720"/>
      </w:pPr>
      <w:r>
        <w:t xml:space="preserve">Cantor, D., Fisher, B., Chibnall, S., Townsend, R., Lee, H., Bruce, C., &amp; Thomas, G. (2015). </w:t>
      </w:r>
      <w:r>
        <w:rPr>
          <w:i/>
        </w:rPr>
        <w:t>Report on the AAU Campus Climate Survey on Sexual Assault and Sexual Misconduct</w:t>
      </w:r>
      <w:r>
        <w:t>. Washington, DC: Association of American Universities.</w:t>
      </w:r>
    </w:p>
    <w:p w14:paraId="75116E8E" w14:textId="77777777" w:rsidR="009C2288" w:rsidRDefault="009C2288" w:rsidP="009C2288">
      <w:pPr>
        <w:widowControl w:val="0"/>
        <w:autoSpaceDE w:val="0"/>
        <w:autoSpaceDN w:val="0"/>
        <w:adjustRightInd w:val="0"/>
        <w:spacing w:line="480" w:lineRule="auto"/>
        <w:ind w:left="720" w:right="-720" w:hanging="720"/>
      </w:pPr>
      <w:r>
        <w:t xml:space="preserve">Carre, J. R., Mueller, S. M., Schleicher, K. M., &amp; Jones, D. N. (2018). Psychopathy and Deviant Workplace Behavior: A Comparison of Two Psychopathy Models. </w:t>
      </w:r>
      <w:r>
        <w:rPr>
          <w:i/>
          <w:iCs/>
        </w:rPr>
        <w:t>Journal of Personality Disorders, 32</w:t>
      </w:r>
      <w:r>
        <w:t xml:space="preserve">, 242-261. </w:t>
      </w:r>
    </w:p>
    <w:p w14:paraId="38CB304D" w14:textId="77777777" w:rsidR="009C2288" w:rsidRDefault="009C2288" w:rsidP="009C2288">
      <w:pPr>
        <w:widowControl w:val="0"/>
        <w:autoSpaceDE w:val="0"/>
        <w:autoSpaceDN w:val="0"/>
        <w:adjustRightInd w:val="0"/>
        <w:spacing w:line="480" w:lineRule="auto"/>
        <w:ind w:left="720" w:right="-720" w:hanging="720"/>
      </w:pPr>
      <w:r>
        <w:t>Chen, F. F. (2007). Sensitivity of goodness of fit indexes to lack of measurement invariance. </w:t>
      </w:r>
      <w:r>
        <w:rPr>
          <w:i/>
          <w:iCs/>
        </w:rPr>
        <w:t xml:space="preserve">Structural </w:t>
      </w:r>
      <w:r>
        <w:rPr>
          <w:i/>
          <w:iCs/>
        </w:rPr>
        <w:lastRenderedPageBreak/>
        <w:t>Equation Modeling: A Multidisciplinary Journal</w:t>
      </w:r>
      <w:r>
        <w:t>, </w:t>
      </w:r>
      <w:r>
        <w:rPr>
          <w:i/>
          <w:iCs/>
        </w:rPr>
        <w:t>14</w:t>
      </w:r>
      <w:r>
        <w:t>, 464-504.</w:t>
      </w:r>
    </w:p>
    <w:p w14:paraId="6608D768" w14:textId="77777777" w:rsidR="009C2288" w:rsidRDefault="009C2288" w:rsidP="009C2288">
      <w:pPr>
        <w:widowControl w:val="0"/>
        <w:autoSpaceDE w:val="0"/>
        <w:autoSpaceDN w:val="0"/>
        <w:adjustRightInd w:val="0"/>
        <w:spacing w:line="480" w:lineRule="auto"/>
        <w:ind w:left="720" w:right="-720" w:hanging="720"/>
      </w:pPr>
      <w:r>
        <w:t xml:space="preserve">Corry, N., Merritt, R. D., Mrug, S., &amp; Pamp, B. (2008). The factor structure of the Narcissistic Personality Inventory. </w:t>
      </w:r>
      <w:r>
        <w:rPr>
          <w:i/>
          <w:iCs/>
        </w:rPr>
        <w:t>Journal of Personality Assessment, 90</w:t>
      </w:r>
      <w:r>
        <w:t xml:space="preserve">, 593-600. </w:t>
      </w:r>
    </w:p>
    <w:p w14:paraId="7C3C9E06" w14:textId="77777777" w:rsidR="009C2288" w:rsidRDefault="009C2288" w:rsidP="009C2288">
      <w:pPr>
        <w:widowControl w:val="0"/>
        <w:autoSpaceDE w:val="0"/>
        <w:autoSpaceDN w:val="0"/>
        <w:adjustRightInd w:val="0"/>
        <w:spacing w:line="480" w:lineRule="auto"/>
        <w:ind w:left="720" w:right="-720" w:hanging="720"/>
      </w:pPr>
      <w:r>
        <w:t>Davidson, M. M., Gervais, S. J., Canivez, G. L., &amp; Cole, B. P. (2013). A psychometric examination of the Interpersonal Sexual Objectification Scale among college men. </w:t>
      </w:r>
      <w:r>
        <w:rPr>
          <w:i/>
          <w:iCs/>
        </w:rPr>
        <w:t>Journal of Counseling Psychology</w:t>
      </w:r>
      <w:r>
        <w:t>, </w:t>
      </w:r>
      <w:r>
        <w:rPr>
          <w:i/>
          <w:iCs/>
        </w:rPr>
        <w:t>60</w:t>
      </w:r>
      <w:r>
        <w:t>, 239-250.</w:t>
      </w:r>
    </w:p>
    <w:p w14:paraId="3C8745F0" w14:textId="77777777" w:rsidR="009C2288" w:rsidRDefault="009C2288" w:rsidP="009C2288">
      <w:pPr>
        <w:widowControl w:val="0"/>
        <w:autoSpaceDE w:val="0"/>
        <w:autoSpaceDN w:val="0"/>
        <w:adjustRightInd w:val="0"/>
        <w:spacing w:line="480" w:lineRule="auto"/>
        <w:ind w:left="720" w:right="-720" w:hanging="720"/>
      </w:pPr>
      <w:r>
        <w:t>Dir, A. L., Coskunpinar, A., &amp; Cyders, M. A. (2014). A meta-analytic review of the relationship between adolescent risky sexual behavior and impulsivity across gender, age, and race. </w:t>
      </w:r>
      <w:r>
        <w:rPr>
          <w:i/>
          <w:iCs/>
        </w:rPr>
        <w:t>Clinical Psychology Review</w:t>
      </w:r>
      <w:r>
        <w:t>, </w:t>
      </w:r>
      <w:r>
        <w:rPr>
          <w:i/>
          <w:iCs/>
        </w:rPr>
        <w:t>34</w:t>
      </w:r>
      <w:r>
        <w:t>, 551-562.</w:t>
      </w:r>
    </w:p>
    <w:p w14:paraId="2C92E879" w14:textId="77777777" w:rsidR="009C2288" w:rsidRDefault="009C2288" w:rsidP="009C2288">
      <w:pPr>
        <w:widowControl w:val="0"/>
        <w:autoSpaceDE w:val="0"/>
        <w:autoSpaceDN w:val="0"/>
        <w:adjustRightInd w:val="0"/>
        <w:spacing w:line="480" w:lineRule="auto"/>
        <w:ind w:left="720" w:right="-720" w:hanging="720"/>
      </w:pPr>
      <w:r>
        <w:t xml:space="preserve">Eisenbarth, H., Lilienfeld, S. O., &amp; Yarkoni, T. (2015). Using a genetic algorithm to abbreviate the Psychopathic Personality Inventory–Revised (PPI-R). </w:t>
      </w:r>
      <w:r>
        <w:rPr>
          <w:i/>
          <w:iCs/>
        </w:rPr>
        <w:t>Psychological Assessment, 27</w:t>
      </w:r>
      <w:r>
        <w:t xml:space="preserve">, 194. </w:t>
      </w:r>
    </w:p>
    <w:p w14:paraId="1AED2D18" w14:textId="77777777" w:rsidR="009C2288" w:rsidRDefault="009C2288" w:rsidP="009C2288">
      <w:pPr>
        <w:widowControl w:val="0"/>
        <w:autoSpaceDE w:val="0"/>
        <w:autoSpaceDN w:val="0"/>
        <w:adjustRightInd w:val="0"/>
        <w:spacing w:line="480" w:lineRule="auto"/>
        <w:ind w:left="720" w:right="-720" w:hanging="720"/>
      </w:pPr>
      <w:r>
        <w:t xml:space="preserve">Enders, C. K., &amp; Bandalos, D. L. (2001). The relative performance of full information maximum likelihood estimation for missing data in structural equation models. </w:t>
      </w:r>
      <w:r>
        <w:rPr>
          <w:i/>
          <w:iCs/>
        </w:rPr>
        <w:t>Structural Equation Modeling, 8</w:t>
      </w:r>
      <w:r>
        <w:t>, 430-457.</w:t>
      </w:r>
    </w:p>
    <w:p w14:paraId="17E7C1F8" w14:textId="77777777" w:rsidR="009C2288" w:rsidRDefault="009C2288" w:rsidP="009C2288">
      <w:pPr>
        <w:widowControl w:val="0"/>
        <w:autoSpaceDE w:val="0"/>
        <w:autoSpaceDN w:val="0"/>
        <w:adjustRightInd w:val="0"/>
        <w:spacing w:line="480" w:lineRule="auto"/>
        <w:ind w:left="720" w:right="-720" w:hanging="720"/>
      </w:pPr>
      <w:r>
        <w:t xml:space="preserve">Fedina, L., Holmes, J. L., &amp; Backes, B. L. (2018). Campus sexual assault: A systematic review of prevalence research from 2000 to 2015. </w:t>
      </w:r>
      <w:r>
        <w:rPr>
          <w:i/>
        </w:rPr>
        <w:t>Trauma, Violence, &amp; Abuse</w:t>
      </w:r>
      <w:r>
        <w:t>, 19, 76-93.</w:t>
      </w:r>
    </w:p>
    <w:p w14:paraId="31090F2D" w14:textId="66A4CFD4" w:rsidR="009C2288" w:rsidRDefault="009C2288" w:rsidP="009C2288">
      <w:pPr>
        <w:widowControl w:val="0"/>
        <w:autoSpaceDE w:val="0"/>
        <w:autoSpaceDN w:val="0"/>
        <w:adjustRightInd w:val="0"/>
        <w:spacing w:line="480" w:lineRule="auto"/>
        <w:ind w:left="720" w:right="-720" w:hanging="720"/>
      </w:pPr>
      <w:r>
        <w:t>Flood, M., &amp; Pease, B. (2009). Factors influencing attitudes to violence against women. </w:t>
      </w:r>
      <w:r>
        <w:rPr>
          <w:i/>
          <w:iCs/>
        </w:rPr>
        <w:t>Trauma, Violence, &amp; Abuse</w:t>
      </w:r>
      <w:r>
        <w:t>, </w:t>
      </w:r>
      <w:r>
        <w:rPr>
          <w:i/>
          <w:iCs/>
        </w:rPr>
        <w:t>10</w:t>
      </w:r>
      <w:r>
        <w:t>, 125-142.</w:t>
      </w:r>
    </w:p>
    <w:p w14:paraId="5BC5D740" w14:textId="4C7A06CA" w:rsidR="004205B9" w:rsidRDefault="004205B9" w:rsidP="009C2288">
      <w:pPr>
        <w:widowControl w:val="0"/>
        <w:autoSpaceDE w:val="0"/>
        <w:autoSpaceDN w:val="0"/>
        <w:adjustRightInd w:val="0"/>
        <w:spacing w:line="480" w:lineRule="auto"/>
        <w:ind w:left="720" w:right="-720" w:hanging="720"/>
      </w:pPr>
      <w:r w:rsidRPr="004205B9">
        <w:t>Franz, M. R., Haikalis, M., Riemer, A. R., Parrott, D. J., Gervais, S. J., &amp; DiLillo, D. (2018). Further validation of a laboratory analog sexual aggression task: Associations with novel risk factors for sexual violence. </w:t>
      </w:r>
      <w:r>
        <w:rPr>
          <w:i/>
          <w:iCs/>
        </w:rPr>
        <w:t>Violence and V</w:t>
      </w:r>
      <w:r w:rsidRPr="004205B9">
        <w:rPr>
          <w:i/>
          <w:iCs/>
        </w:rPr>
        <w:t>ictims</w:t>
      </w:r>
      <w:r w:rsidRPr="004205B9">
        <w:t>, </w:t>
      </w:r>
      <w:r w:rsidRPr="004205B9">
        <w:rPr>
          <w:i/>
          <w:iCs/>
        </w:rPr>
        <w:t>33</w:t>
      </w:r>
      <w:r w:rsidRPr="004205B9">
        <w:t>, 486-503.</w:t>
      </w:r>
    </w:p>
    <w:p w14:paraId="43980125" w14:textId="77777777" w:rsidR="009C2288" w:rsidRDefault="009C2288" w:rsidP="009C2288">
      <w:pPr>
        <w:widowControl w:val="0"/>
        <w:autoSpaceDE w:val="0"/>
        <w:autoSpaceDN w:val="0"/>
        <w:adjustRightInd w:val="0"/>
        <w:spacing w:line="480" w:lineRule="auto"/>
        <w:ind w:left="720" w:right="-720" w:hanging="720"/>
      </w:pPr>
      <w:r>
        <w:t xml:space="preserve">Fredrickson, B. L., Roberts, T. A., Noll, S. M., Quinn, D. M., &amp; Twenge, J. M. (1998). That swimsuit becomes you: Sex differences in self-objectification, restrained eating, and math performance. </w:t>
      </w:r>
      <w:r>
        <w:rPr>
          <w:i/>
        </w:rPr>
        <w:lastRenderedPageBreak/>
        <w:t>Journal of Personality and Social Psychology</w:t>
      </w:r>
      <w:r>
        <w:t xml:space="preserve">, </w:t>
      </w:r>
      <w:r>
        <w:rPr>
          <w:i/>
        </w:rPr>
        <w:t>75</w:t>
      </w:r>
      <w:r>
        <w:t xml:space="preserve">, 269-284. </w:t>
      </w:r>
    </w:p>
    <w:p w14:paraId="3970D371" w14:textId="77777777" w:rsidR="009C2288" w:rsidRDefault="009C2288" w:rsidP="009C2288">
      <w:pPr>
        <w:widowControl w:val="0"/>
        <w:autoSpaceDE w:val="0"/>
        <w:autoSpaceDN w:val="0"/>
        <w:adjustRightInd w:val="0"/>
        <w:spacing w:line="480" w:lineRule="auto"/>
        <w:ind w:left="720" w:right="-720" w:hanging="720"/>
      </w:pPr>
      <w:r>
        <w:t xml:space="preserve">Gervais, S. J., Davidson, M. M., Styck, K., Canivez, G., &amp; DiLillo, D. (2018). The Development and Psychometric Properties of the Interpersonal Sexual Objectification Scale—Perpetration Version. </w:t>
      </w:r>
      <w:r>
        <w:rPr>
          <w:i/>
        </w:rPr>
        <w:t xml:space="preserve">Psychology of Violence, 8, </w:t>
      </w:r>
      <w:r>
        <w:t xml:space="preserve">546–559. </w:t>
      </w:r>
    </w:p>
    <w:p w14:paraId="386C5837" w14:textId="77777777" w:rsidR="009C2288" w:rsidRDefault="009C2288" w:rsidP="009C2288">
      <w:pPr>
        <w:widowControl w:val="0"/>
        <w:autoSpaceDE w:val="0"/>
        <w:autoSpaceDN w:val="0"/>
        <w:adjustRightInd w:val="0"/>
        <w:spacing w:line="480" w:lineRule="auto"/>
        <w:ind w:left="720" w:right="-720" w:hanging="720"/>
      </w:pPr>
      <w:r>
        <w:t xml:space="preserve">Gervais, S. J., DiLillo, D., &amp; McChargue, D. (2014). Understanding the link between men’s alcohol use and sexual violence perpetration: The mediating role of sexual objectification. </w:t>
      </w:r>
      <w:r>
        <w:rPr>
          <w:i/>
          <w:iCs/>
        </w:rPr>
        <w:t>Psychology of Violence, 4</w:t>
      </w:r>
      <w:r>
        <w:t xml:space="preserve">, 156. </w:t>
      </w:r>
    </w:p>
    <w:p w14:paraId="2F80F85E" w14:textId="77777777" w:rsidR="009C2288" w:rsidRDefault="009C2288" w:rsidP="009C2288">
      <w:pPr>
        <w:widowControl w:val="0"/>
        <w:autoSpaceDE w:val="0"/>
        <w:autoSpaceDN w:val="0"/>
        <w:adjustRightInd w:val="0"/>
        <w:spacing w:line="480" w:lineRule="auto"/>
        <w:ind w:left="720" w:right="-720" w:hanging="720"/>
      </w:pPr>
      <w:r>
        <w:t xml:space="preserve">Gervais, S. J., Sáez, G., Riemer, A. R., &amp; Klein, O. (2019). The Social Interaction Model of Objectification: A process model of goal‐based objectifying exchanges between men and women. </w:t>
      </w:r>
      <w:r>
        <w:rPr>
          <w:i/>
        </w:rPr>
        <w:t>British Journal of Social Psychology</w:t>
      </w:r>
      <w:r>
        <w:t xml:space="preserve">. Pagination forthcoming. </w:t>
      </w:r>
    </w:p>
    <w:p w14:paraId="01C50572" w14:textId="77777777" w:rsidR="009C2288" w:rsidRDefault="009C2288" w:rsidP="009C2288">
      <w:pPr>
        <w:widowControl w:val="0"/>
        <w:autoSpaceDE w:val="0"/>
        <w:autoSpaceDN w:val="0"/>
        <w:adjustRightInd w:val="0"/>
        <w:spacing w:line="480" w:lineRule="auto"/>
        <w:ind w:left="720" w:right="-720" w:hanging="720"/>
      </w:pPr>
      <w:r>
        <w:t xml:space="preserve">Gervais, S. J., Vescio, T. K., &amp; Allen, J. (2011). When what you see is what you get: The consequences of the objectifying gaze for women and men. </w:t>
      </w:r>
      <w:r>
        <w:rPr>
          <w:i/>
        </w:rPr>
        <w:t>Psychology of Women Quarterly</w:t>
      </w:r>
      <w:r>
        <w:t>, 35, 5-17.</w:t>
      </w:r>
    </w:p>
    <w:p w14:paraId="7E6E8AFA" w14:textId="77777777" w:rsidR="009C2288" w:rsidRDefault="009C2288" w:rsidP="009C2288">
      <w:pPr>
        <w:widowControl w:val="0"/>
        <w:autoSpaceDE w:val="0"/>
        <w:autoSpaceDN w:val="0"/>
        <w:adjustRightInd w:val="0"/>
        <w:spacing w:line="480" w:lineRule="auto"/>
        <w:ind w:left="720" w:right="-720" w:hanging="720"/>
      </w:pPr>
      <w:r>
        <w:t>Gignac, G. E., &amp; Szodorai, E. T. (2016). Effect size guidelines for individual differences researchers. </w:t>
      </w:r>
      <w:r>
        <w:rPr>
          <w:i/>
          <w:iCs/>
        </w:rPr>
        <w:t>Personality and Individual Differences</w:t>
      </w:r>
      <w:r>
        <w:t>, </w:t>
      </w:r>
      <w:r>
        <w:rPr>
          <w:i/>
          <w:iCs/>
        </w:rPr>
        <w:t>102</w:t>
      </w:r>
      <w:r>
        <w:t>, 74-78.</w:t>
      </w:r>
    </w:p>
    <w:p w14:paraId="71D68B3C" w14:textId="77777777" w:rsidR="009C2288" w:rsidRDefault="009C2288" w:rsidP="009C2288">
      <w:pPr>
        <w:widowControl w:val="0"/>
        <w:autoSpaceDE w:val="0"/>
        <w:autoSpaceDN w:val="0"/>
        <w:adjustRightInd w:val="0"/>
        <w:spacing w:line="480" w:lineRule="auto"/>
        <w:ind w:left="720" w:right="-720" w:hanging="720"/>
      </w:pPr>
      <w:r>
        <w:t xml:space="preserve">Haslam, N., &amp; Loughnan, S. (2014). Dehumanization and infrahumanization. </w:t>
      </w:r>
      <w:r>
        <w:rPr>
          <w:i/>
        </w:rPr>
        <w:t>Annual Review of Psychology</w:t>
      </w:r>
      <w:r>
        <w:t xml:space="preserve">, </w:t>
      </w:r>
      <w:r>
        <w:rPr>
          <w:i/>
        </w:rPr>
        <w:t>65</w:t>
      </w:r>
      <w:r>
        <w:t>, 399-423.</w:t>
      </w:r>
    </w:p>
    <w:p w14:paraId="4EA87BA6" w14:textId="77777777" w:rsidR="009C2288" w:rsidRDefault="009C2288" w:rsidP="009C2288">
      <w:pPr>
        <w:widowControl w:val="0"/>
        <w:autoSpaceDE w:val="0"/>
        <w:autoSpaceDN w:val="0"/>
        <w:adjustRightInd w:val="0"/>
        <w:spacing w:line="480" w:lineRule="auto"/>
        <w:ind w:left="720" w:right="-720" w:hanging="720"/>
      </w:pPr>
      <w:r>
        <w:t xml:space="preserve">Hendin, H., &amp; Cheek, J. (2013). The Hypersensitive Narcissism Scale. </w:t>
      </w:r>
      <w:r>
        <w:rPr>
          <w:i/>
          <w:iCs/>
        </w:rPr>
        <w:t>Measurement Instrument Database for the Social Science</w:t>
      </w:r>
      <w:r>
        <w:t xml:space="preserve">. </w:t>
      </w:r>
    </w:p>
    <w:p w14:paraId="309C7D13" w14:textId="77777777" w:rsidR="009C2288" w:rsidRDefault="009C2288" w:rsidP="009C2288">
      <w:pPr>
        <w:widowControl w:val="0"/>
        <w:autoSpaceDE w:val="0"/>
        <w:autoSpaceDN w:val="0"/>
        <w:adjustRightInd w:val="0"/>
        <w:spacing w:line="480" w:lineRule="auto"/>
        <w:ind w:left="720" w:right="-720" w:hanging="720"/>
      </w:pPr>
      <w:r>
        <w:t>Hoffmann, AM, Verona, E. (2019). Psychopathic traits, gender, and motivations for sex: Putative paths to sexual coercion. </w:t>
      </w:r>
      <w:r>
        <w:rPr>
          <w:i/>
          <w:iCs/>
        </w:rPr>
        <w:t>Aggressive Behavior</w:t>
      </w:r>
      <w:r>
        <w:t>, </w:t>
      </w:r>
      <w:r>
        <w:rPr>
          <w:i/>
        </w:rPr>
        <w:t>45</w:t>
      </w:r>
      <w:r>
        <w:t>, 527– 536.</w:t>
      </w:r>
    </w:p>
    <w:p w14:paraId="7E771FB6" w14:textId="77777777" w:rsidR="009C2288" w:rsidRDefault="009C2288" w:rsidP="009C2288">
      <w:pPr>
        <w:widowControl w:val="0"/>
        <w:autoSpaceDE w:val="0"/>
        <w:autoSpaceDN w:val="0"/>
        <w:adjustRightInd w:val="0"/>
        <w:spacing w:line="480" w:lineRule="auto"/>
        <w:ind w:left="720" w:right="-720" w:hanging="720"/>
      </w:pPr>
      <w:r>
        <w:t xml:space="preserve">Knight, R. A., &amp; Guay, J.-P. (2018). The Role of Psychopathy in Sexual Coercion against Women: An Update and Expansion. In C. J. Patrick (Ed.), </w:t>
      </w:r>
      <w:r>
        <w:rPr>
          <w:i/>
          <w:iCs/>
        </w:rPr>
        <w:t>Handbook of psychopathy</w:t>
      </w:r>
      <w:r>
        <w:t xml:space="preserve"> (Second ed.). New York: The Guilford Press.</w:t>
      </w:r>
    </w:p>
    <w:p w14:paraId="3B0872D7" w14:textId="77777777" w:rsidR="009C2288" w:rsidRDefault="009C2288" w:rsidP="009C2288">
      <w:pPr>
        <w:widowControl w:val="0"/>
        <w:autoSpaceDE w:val="0"/>
        <w:autoSpaceDN w:val="0"/>
        <w:adjustRightInd w:val="0"/>
        <w:spacing w:line="480" w:lineRule="auto"/>
        <w:ind w:left="720" w:right="-720" w:hanging="720"/>
      </w:pPr>
      <w:r>
        <w:lastRenderedPageBreak/>
        <w:t xml:space="preserve">Kosson, D. S., Kelly, J. C., &amp; White, J. W. (1997). Psychopathy-related traits predict self-reported sexual aggression among college men. </w:t>
      </w:r>
      <w:r>
        <w:rPr>
          <w:i/>
        </w:rPr>
        <w:t>Journal of Interpersonal Violence</w:t>
      </w:r>
      <w:r>
        <w:t xml:space="preserve">, </w:t>
      </w:r>
      <w:r>
        <w:rPr>
          <w:i/>
        </w:rPr>
        <w:t>12</w:t>
      </w:r>
      <w:r>
        <w:t>, 241-254.</w:t>
      </w:r>
    </w:p>
    <w:p w14:paraId="4E2A8755" w14:textId="77777777" w:rsidR="009C2288" w:rsidRDefault="009C2288" w:rsidP="009C2288">
      <w:pPr>
        <w:widowControl w:val="0"/>
        <w:autoSpaceDE w:val="0"/>
        <w:autoSpaceDN w:val="0"/>
        <w:adjustRightInd w:val="0"/>
        <w:spacing w:line="480" w:lineRule="auto"/>
        <w:ind w:left="720" w:right="-720" w:hanging="720"/>
      </w:pPr>
      <w:r>
        <w:t xml:space="preserve">Krueger, R. F., Derringer, J., Markon, K. E., Watson, D., &amp; Skodol, A. E. (2012). Initial construction of a maladaptive personality trait model and inventory for DSM-5. </w:t>
      </w:r>
      <w:r>
        <w:rPr>
          <w:i/>
          <w:iCs/>
        </w:rPr>
        <w:t>Psychological Medicine, 42</w:t>
      </w:r>
      <w:r>
        <w:t xml:space="preserve">, 1879-1890. </w:t>
      </w:r>
    </w:p>
    <w:p w14:paraId="5096B0ED" w14:textId="77777777" w:rsidR="009C2288" w:rsidRDefault="009C2288" w:rsidP="009C2288">
      <w:pPr>
        <w:widowControl w:val="0"/>
        <w:autoSpaceDE w:val="0"/>
        <w:autoSpaceDN w:val="0"/>
        <w:adjustRightInd w:val="0"/>
        <w:spacing w:line="480" w:lineRule="auto"/>
        <w:ind w:left="720" w:right="-720" w:hanging="720"/>
      </w:pPr>
      <w:r>
        <w:t xml:space="preserve">Lang, J. (2010). Questioning dehumanization: Intersubjective dimensions of violence in the Nazi concentration and death camps. </w:t>
      </w:r>
      <w:r>
        <w:rPr>
          <w:i/>
          <w:iCs/>
        </w:rPr>
        <w:t>Holocaust and Genocide Studies, 24</w:t>
      </w:r>
      <w:r>
        <w:t xml:space="preserve">, 225-246. </w:t>
      </w:r>
    </w:p>
    <w:p w14:paraId="400E6743" w14:textId="77777777" w:rsidR="009C2288" w:rsidRDefault="009C2288" w:rsidP="009C2288">
      <w:pPr>
        <w:widowControl w:val="0"/>
        <w:autoSpaceDE w:val="0"/>
        <w:autoSpaceDN w:val="0"/>
        <w:adjustRightInd w:val="0"/>
        <w:spacing w:line="480" w:lineRule="auto"/>
        <w:ind w:left="720" w:right="-720" w:hanging="720"/>
      </w:pPr>
      <w:r>
        <w:t xml:space="preserve">Langton, R. (2009). </w:t>
      </w:r>
      <w:r>
        <w:rPr>
          <w:i/>
          <w:iCs/>
        </w:rPr>
        <w:t>Sexual solipsism: Philosophical essays on pornography and objectification</w:t>
      </w:r>
      <w:r>
        <w:t>: Oxford University Press.</w:t>
      </w:r>
    </w:p>
    <w:p w14:paraId="039C5627" w14:textId="77777777" w:rsidR="009C2288" w:rsidRDefault="009C2288" w:rsidP="009C2288">
      <w:pPr>
        <w:widowControl w:val="0"/>
        <w:autoSpaceDE w:val="0"/>
        <w:autoSpaceDN w:val="0"/>
        <w:adjustRightInd w:val="0"/>
        <w:spacing w:line="480" w:lineRule="auto"/>
        <w:ind w:left="720" w:right="-720" w:hanging="720"/>
      </w:pPr>
      <w:r>
        <w:t xml:space="preserve">Lee, K., &amp; Ashton, M. C. (2004). Psychometric properties of the HEXACO personality inventory. </w:t>
      </w:r>
      <w:r>
        <w:rPr>
          <w:i/>
          <w:iCs/>
        </w:rPr>
        <w:t>Multivariate Behavioral Research, 39</w:t>
      </w:r>
      <w:r>
        <w:t xml:space="preserve">, 329-358. </w:t>
      </w:r>
    </w:p>
    <w:p w14:paraId="1FA1BD5C" w14:textId="77777777" w:rsidR="009C2288" w:rsidRDefault="009C2288" w:rsidP="009C2288">
      <w:pPr>
        <w:widowControl w:val="0"/>
        <w:autoSpaceDE w:val="0"/>
        <w:autoSpaceDN w:val="0"/>
        <w:adjustRightInd w:val="0"/>
        <w:spacing w:line="480" w:lineRule="auto"/>
        <w:ind w:left="720" w:right="-720" w:hanging="720"/>
      </w:pPr>
      <w:r>
        <w:t xml:space="preserve">Lee, K., Gizzarone, M., &amp; Ashton, M. C. (2003). Personality and the likelihood to sexually harass. </w:t>
      </w:r>
      <w:r>
        <w:rPr>
          <w:i/>
          <w:iCs/>
        </w:rPr>
        <w:t>Sex Roles, 49</w:t>
      </w:r>
      <w:r>
        <w:t xml:space="preserve">, 59-69. </w:t>
      </w:r>
    </w:p>
    <w:p w14:paraId="1AEA25D3" w14:textId="77777777" w:rsidR="009C2288" w:rsidRDefault="009C2288" w:rsidP="009C2288">
      <w:pPr>
        <w:widowControl w:val="0"/>
        <w:autoSpaceDE w:val="0"/>
        <w:autoSpaceDN w:val="0"/>
        <w:adjustRightInd w:val="0"/>
        <w:spacing w:line="480" w:lineRule="auto"/>
        <w:ind w:left="720" w:right="-720" w:hanging="720"/>
      </w:pPr>
      <w:r>
        <w:t xml:space="preserve">Lilienfeld, S. O., Watts, A. L., Smith, S., Berg, J. M., &amp; Latzman, R. D. (2015). Psychopathy deconstructed and reconstructed: Identifying and assembling the personality building blocks of Cleckley's chimera. </w:t>
      </w:r>
      <w:r>
        <w:rPr>
          <w:i/>
          <w:iCs/>
        </w:rPr>
        <w:t>Journal of Personality, 83</w:t>
      </w:r>
      <w:r>
        <w:t xml:space="preserve">, 593-610. </w:t>
      </w:r>
    </w:p>
    <w:p w14:paraId="23B9DA5C" w14:textId="77777777" w:rsidR="009C2288" w:rsidRDefault="009C2288" w:rsidP="009C2288">
      <w:pPr>
        <w:widowControl w:val="0"/>
        <w:autoSpaceDE w:val="0"/>
        <w:autoSpaceDN w:val="0"/>
        <w:adjustRightInd w:val="0"/>
        <w:spacing w:line="480" w:lineRule="auto"/>
        <w:ind w:left="720" w:right="-720" w:hanging="720"/>
      </w:pPr>
      <w:r>
        <w:t xml:space="preserve">Lilienfeld, S.O., Watts, A.L., Murphy, B., Costello, T.H., Bowes, S.M., Smith, S.F., Latzman, R.D., Haslam, N., Tabb, K. (2019). Personality disorders as Emergent Interpersonal Syndromes: Psychopathic personality as a case example. </w:t>
      </w:r>
      <w:r>
        <w:rPr>
          <w:i/>
        </w:rPr>
        <w:t>Journal of Personality Disorders</w:t>
      </w:r>
      <w:r>
        <w:t xml:space="preserve">. Pagination forthcoming. </w:t>
      </w:r>
    </w:p>
    <w:p w14:paraId="2BFAB292" w14:textId="77777777" w:rsidR="009C2288" w:rsidRDefault="009C2288" w:rsidP="009C2288">
      <w:pPr>
        <w:widowControl w:val="0"/>
        <w:autoSpaceDE w:val="0"/>
        <w:autoSpaceDN w:val="0"/>
        <w:adjustRightInd w:val="0"/>
        <w:spacing w:line="480" w:lineRule="auto"/>
        <w:ind w:left="720" w:right="-720" w:hanging="720"/>
      </w:pPr>
      <w:r>
        <w:t xml:space="preserve">Lilienfeld, S. O., &amp; Widows, M. (2005). </w:t>
      </w:r>
      <w:r>
        <w:rPr>
          <w:i/>
        </w:rPr>
        <w:t>Professional manual for the psychopathic personality inventory-revised (PPI-R).</w:t>
      </w:r>
      <w:r>
        <w:t xml:space="preserve"> Lutz, FL: Psychological Assessment Resources.</w:t>
      </w:r>
    </w:p>
    <w:p w14:paraId="4BA158E4" w14:textId="77777777" w:rsidR="009C2288" w:rsidRDefault="009C2288" w:rsidP="009C2288">
      <w:pPr>
        <w:widowControl w:val="0"/>
        <w:autoSpaceDE w:val="0"/>
        <w:autoSpaceDN w:val="0"/>
        <w:adjustRightInd w:val="0"/>
        <w:spacing w:line="480" w:lineRule="auto"/>
        <w:ind w:left="720" w:right="-720" w:hanging="720"/>
      </w:pPr>
      <w:r>
        <w:t xml:space="preserve">Loevinger, J. (1957). Objective tests as instruments of psychological theory. </w:t>
      </w:r>
      <w:r>
        <w:rPr>
          <w:i/>
          <w:iCs/>
        </w:rPr>
        <w:t>Psychological Reports, 3</w:t>
      </w:r>
      <w:r>
        <w:t xml:space="preserve">, </w:t>
      </w:r>
      <w:r>
        <w:lastRenderedPageBreak/>
        <w:t xml:space="preserve">635-694. </w:t>
      </w:r>
    </w:p>
    <w:p w14:paraId="07DBF21B" w14:textId="77777777" w:rsidR="009C2288" w:rsidRDefault="009C2288" w:rsidP="009C2288">
      <w:pPr>
        <w:widowControl w:val="0"/>
        <w:autoSpaceDE w:val="0"/>
        <w:autoSpaceDN w:val="0"/>
        <w:adjustRightInd w:val="0"/>
        <w:spacing w:line="480" w:lineRule="auto"/>
        <w:ind w:left="720" w:right="-720" w:hanging="720"/>
      </w:pPr>
      <w:r>
        <w:t xml:space="preserve">Lynam, D. R., Smith, G. T., Whiteside, S. P., &amp; Cyders, M. A. (2006). The UPPS-P: Assessing five personality pathways to impulsive behavior. </w:t>
      </w:r>
      <w:r>
        <w:rPr>
          <w:i/>
          <w:iCs/>
        </w:rPr>
        <w:t>West Lafayette, IN: Purdue University</w:t>
      </w:r>
      <w:r>
        <w:t xml:space="preserve">. </w:t>
      </w:r>
    </w:p>
    <w:p w14:paraId="1BE3B008" w14:textId="77777777" w:rsidR="009C2288" w:rsidRDefault="009C2288" w:rsidP="009C2288">
      <w:pPr>
        <w:widowControl w:val="0"/>
        <w:autoSpaceDE w:val="0"/>
        <w:autoSpaceDN w:val="0"/>
        <w:adjustRightInd w:val="0"/>
        <w:spacing w:line="480" w:lineRule="auto"/>
        <w:ind w:left="720" w:right="-720" w:hanging="720"/>
      </w:pPr>
      <w:r>
        <w:t xml:space="preserve">Marcus, D. K., &amp; Norris, A. L. (2014). A new measure of attitudes toward sexually predatory tactics and its relation to the triarchic model of psychopathy. </w:t>
      </w:r>
      <w:r>
        <w:rPr>
          <w:i/>
          <w:iCs/>
        </w:rPr>
        <w:t>Journal of Personality Disorders, 28</w:t>
      </w:r>
      <w:r>
        <w:t xml:space="preserve">, 247-261. </w:t>
      </w:r>
    </w:p>
    <w:p w14:paraId="08E4DB8E" w14:textId="77777777" w:rsidR="009C2288" w:rsidRDefault="009C2288" w:rsidP="009C2288">
      <w:pPr>
        <w:widowControl w:val="0"/>
        <w:autoSpaceDE w:val="0"/>
        <w:autoSpaceDN w:val="0"/>
        <w:adjustRightInd w:val="0"/>
        <w:spacing w:line="480" w:lineRule="auto"/>
        <w:ind w:left="720" w:right="-720" w:hanging="720"/>
      </w:pPr>
      <w:r>
        <w:t xml:space="preserve">Meade, A. W., Johnson, E. C., &amp; Braddy, P. W. (2008). Power and sensitivity of alternative fit indices in tests of measurement invariance. </w:t>
      </w:r>
      <w:r>
        <w:rPr>
          <w:i/>
        </w:rPr>
        <w:t>Journal of Applied Psychology</w:t>
      </w:r>
      <w:r>
        <w:t xml:space="preserve">, </w:t>
      </w:r>
      <w:r>
        <w:rPr>
          <w:i/>
        </w:rPr>
        <w:t>93</w:t>
      </w:r>
      <w:r>
        <w:t>, 568.</w:t>
      </w:r>
    </w:p>
    <w:p w14:paraId="4EC79659" w14:textId="77777777" w:rsidR="009C2288" w:rsidRDefault="009C2288" w:rsidP="009C2288">
      <w:pPr>
        <w:widowControl w:val="0"/>
        <w:autoSpaceDE w:val="0"/>
        <w:autoSpaceDN w:val="0"/>
        <w:adjustRightInd w:val="0"/>
        <w:spacing w:line="480" w:lineRule="auto"/>
        <w:ind w:left="720" w:right="-720" w:hanging="720"/>
      </w:pPr>
      <w:r>
        <w:t>Mokros, A., Osterheider, M., Hucker, S. J., &amp; Nitschke, J. (2011). Psychopathy and sexual sadism. </w:t>
      </w:r>
      <w:r>
        <w:rPr>
          <w:i/>
          <w:iCs/>
        </w:rPr>
        <w:t>Law and Human Behavior</w:t>
      </w:r>
      <w:r>
        <w:t>, </w:t>
      </w:r>
      <w:r>
        <w:rPr>
          <w:i/>
          <w:iCs/>
        </w:rPr>
        <w:t>35</w:t>
      </w:r>
      <w:r>
        <w:t>, 188-199.</w:t>
      </w:r>
    </w:p>
    <w:p w14:paraId="59DFC446" w14:textId="77777777" w:rsidR="009C2288" w:rsidRDefault="009C2288" w:rsidP="009C2288">
      <w:pPr>
        <w:widowControl w:val="0"/>
        <w:autoSpaceDE w:val="0"/>
        <w:autoSpaceDN w:val="0"/>
        <w:adjustRightInd w:val="0"/>
        <w:spacing w:line="480" w:lineRule="auto"/>
        <w:ind w:left="720" w:right="-720" w:hanging="720"/>
      </w:pPr>
      <w:r>
        <w:t>Morris, K. L., Goldenberg, J., &amp; Boyd, P. (2018). Women as animals, women as objects: Evidence for two forms of objectification. </w:t>
      </w:r>
      <w:r>
        <w:rPr>
          <w:i/>
          <w:iCs/>
        </w:rPr>
        <w:t>Personality and Social Psychology Bulletin</w:t>
      </w:r>
      <w:r>
        <w:t>, </w:t>
      </w:r>
      <w:r>
        <w:rPr>
          <w:i/>
          <w:iCs/>
        </w:rPr>
        <w:t>44</w:t>
      </w:r>
      <w:r>
        <w:t>, 1302-1314.</w:t>
      </w:r>
    </w:p>
    <w:p w14:paraId="78799981" w14:textId="77777777" w:rsidR="009C2288" w:rsidRDefault="009C2288" w:rsidP="009C2288">
      <w:pPr>
        <w:widowControl w:val="0"/>
        <w:autoSpaceDE w:val="0"/>
        <w:autoSpaceDN w:val="0"/>
        <w:adjustRightInd w:val="0"/>
        <w:spacing w:line="480" w:lineRule="auto"/>
        <w:ind w:left="720" w:right="-720" w:hanging="720"/>
      </w:pPr>
      <w:r>
        <w:t>Mouilso, E. R., &amp; Calhoun, K. S. (2012). A mediation model of the role of sociosexuality in the associations between narcissism, psychopathy, and sexual aggression. </w:t>
      </w:r>
      <w:r>
        <w:rPr>
          <w:i/>
          <w:iCs/>
        </w:rPr>
        <w:t>Psychology of Violence, 2</w:t>
      </w:r>
      <w:r>
        <w:t>, 16-27.</w:t>
      </w:r>
    </w:p>
    <w:p w14:paraId="6C02CF2A" w14:textId="77777777" w:rsidR="009C2288" w:rsidRDefault="009C2288" w:rsidP="009C2288">
      <w:pPr>
        <w:widowControl w:val="0"/>
        <w:autoSpaceDE w:val="0"/>
        <w:autoSpaceDN w:val="0"/>
        <w:adjustRightInd w:val="0"/>
        <w:spacing w:line="480" w:lineRule="auto"/>
        <w:ind w:left="720" w:right="-720" w:hanging="720"/>
      </w:pPr>
      <w:r>
        <w:t>Muñoz, L. C., Khan, R., &amp; Cordwell, L. (2011). Sexually coercive tactics used by university students: A clear role for primary psychopathy. </w:t>
      </w:r>
      <w:r>
        <w:rPr>
          <w:i/>
          <w:iCs/>
        </w:rPr>
        <w:t>Journal of Personality Disorders</w:t>
      </w:r>
      <w:r>
        <w:t>, </w:t>
      </w:r>
      <w:r>
        <w:rPr>
          <w:i/>
          <w:iCs/>
        </w:rPr>
        <w:t>25</w:t>
      </w:r>
      <w:r>
        <w:t>, 28-40.</w:t>
      </w:r>
    </w:p>
    <w:p w14:paraId="42D26E47" w14:textId="77777777" w:rsidR="009C2288" w:rsidRDefault="009C2288" w:rsidP="009C2288">
      <w:pPr>
        <w:widowControl w:val="0"/>
        <w:autoSpaceDE w:val="0"/>
        <w:autoSpaceDN w:val="0"/>
        <w:adjustRightInd w:val="0"/>
        <w:spacing w:line="480" w:lineRule="auto"/>
        <w:ind w:left="720" w:right="-720" w:hanging="720"/>
      </w:pPr>
      <w:r>
        <w:t xml:space="preserve">Muthén, L. K., &amp; Muthén, B. O. (2013). Mplus 7.11. </w:t>
      </w:r>
      <w:r>
        <w:rPr>
          <w:i/>
          <w:iCs/>
        </w:rPr>
        <w:t>Los Angeles, CA: Muthén &amp; Muthén</w:t>
      </w:r>
      <w:r>
        <w:t xml:space="preserve">. </w:t>
      </w:r>
    </w:p>
    <w:p w14:paraId="1DDD628D" w14:textId="77777777" w:rsidR="009C2288" w:rsidRDefault="009C2288" w:rsidP="009C2288">
      <w:pPr>
        <w:widowControl w:val="0"/>
        <w:autoSpaceDE w:val="0"/>
        <w:autoSpaceDN w:val="0"/>
        <w:adjustRightInd w:val="0"/>
        <w:spacing w:line="480" w:lineRule="auto"/>
        <w:ind w:left="720" w:right="-720" w:hanging="720"/>
      </w:pPr>
      <w:r>
        <w:t xml:space="preserve">Nussbaum, M. C. (1995). Objectification. </w:t>
      </w:r>
      <w:r>
        <w:rPr>
          <w:i/>
          <w:iCs/>
        </w:rPr>
        <w:t>Philosophy &amp; Public Affairs, 24</w:t>
      </w:r>
      <w:r>
        <w:t xml:space="preserve">, 249-291. </w:t>
      </w:r>
    </w:p>
    <w:p w14:paraId="511A7D02" w14:textId="77777777" w:rsidR="009C2288" w:rsidRDefault="009C2288" w:rsidP="009C2288">
      <w:pPr>
        <w:widowControl w:val="0"/>
        <w:autoSpaceDE w:val="0"/>
        <w:autoSpaceDN w:val="0"/>
        <w:adjustRightInd w:val="0"/>
        <w:spacing w:line="480" w:lineRule="auto"/>
        <w:ind w:left="720" w:right="-720" w:hanging="720"/>
      </w:pPr>
      <w:r>
        <w:t xml:space="preserve">Olver, M. E., &amp; Wong, S. C. (2006). Psychopathy, sexual deviance, and recidivism among sex offenders. </w:t>
      </w:r>
      <w:r>
        <w:rPr>
          <w:i/>
          <w:iCs/>
        </w:rPr>
        <w:t>Sexual Abuse: A Journal of Research and Treatment, 18</w:t>
      </w:r>
      <w:r>
        <w:t xml:space="preserve">, 65. </w:t>
      </w:r>
    </w:p>
    <w:p w14:paraId="003AA201" w14:textId="77777777" w:rsidR="009C2288" w:rsidRDefault="009C2288" w:rsidP="009C2288">
      <w:pPr>
        <w:widowControl w:val="0"/>
        <w:autoSpaceDE w:val="0"/>
        <w:autoSpaceDN w:val="0"/>
        <w:adjustRightInd w:val="0"/>
        <w:spacing w:line="480" w:lineRule="auto"/>
        <w:ind w:left="720" w:right="-720" w:hanging="720"/>
      </w:pPr>
      <w:r>
        <w:t>Pacilli, M. G., Pagliaro, S., Loughnan, S., Gramazio, S., Spaccatini, F., &amp; Baldry, A. C. (2017). Sexualization reduces helping intentions towards female victims of intimate partner violence through mediation of moral patiency. </w:t>
      </w:r>
      <w:r>
        <w:rPr>
          <w:i/>
          <w:iCs/>
        </w:rPr>
        <w:t>British Journal of Social Psychology</w:t>
      </w:r>
      <w:r>
        <w:t>, </w:t>
      </w:r>
      <w:r>
        <w:rPr>
          <w:i/>
          <w:iCs/>
        </w:rPr>
        <w:t>56</w:t>
      </w:r>
      <w:r>
        <w:t>, 293-313.</w:t>
      </w:r>
    </w:p>
    <w:p w14:paraId="64659F88" w14:textId="77777777" w:rsidR="009C2288" w:rsidRDefault="009C2288" w:rsidP="009C2288">
      <w:pPr>
        <w:widowControl w:val="0"/>
        <w:autoSpaceDE w:val="0"/>
        <w:autoSpaceDN w:val="0"/>
        <w:adjustRightInd w:val="0"/>
        <w:spacing w:line="480" w:lineRule="auto"/>
        <w:ind w:left="720" w:right="-720" w:hanging="720"/>
      </w:pPr>
      <w:r>
        <w:lastRenderedPageBreak/>
        <w:t xml:space="preserve">Patrick, C. J., Fowles, D. C., &amp; Krueger, R. F. (2009). Triarchic conceptualization of psychopathy: Developmental origins of disinhibition, boldness, and meanness. </w:t>
      </w:r>
      <w:r>
        <w:rPr>
          <w:i/>
          <w:iCs/>
        </w:rPr>
        <w:t>Development and Psychopathology, 21</w:t>
      </w:r>
      <w:r>
        <w:t xml:space="preserve">, 913-938. </w:t>
      </w:r>
    </w:p>
    <w:p w14:paraId="29A613D4" w14:textId="77777777" w:rsidR="009C2288" w:rsidRDefault="009C2288" w:rsidP="009C2288">
      <w:pPr>
        <w:widowControl w:val="0"/>
        <w:autoSpaceDE w:val="0"/>
        <w:autoSpaceDN w:val="0"/>
        <w:adjustRightInd w:val="0"/>
        <w:spacing w:line="480" w:lineRule="auto"/>
        <w:ind w:left="720" w:right="-720" w:hanging="720"/>
      </w:pPr>
      <w:r>
        <w:t xml:space="preserve">Paulhus, D. L., &amp; Jones, D. N. (2015). Measures of dark personalities. </w:t>
      </w:r>
      <w:r>
        <w:rPr>
          <w:i/>
          <w:iCs/>
        </w:rPr>
        <w:t>Measures of personality and social psychological constructs</w:t>
      </w:r>
      <w:r>
        <w:t xml:space="preserve"> (pp. 562-594): Elsevier.</w:t>
      </w:r>
    </w:p>
    <w:p w14:paraId="635371B2" w14:textId="77777777" w:rsidR="009C2288" w:rsidRDefault="009C2288" w:rsidP="009C2288">
      <w:pPr>
        <w:widowControl w:val="0"/>
        <w:autoSpaceDE w:val="0"/>
        <w:autoSpaceDN w:val="0"/>
        <w:adjustRightInd w:val="0"/>
        <w:spacing w:line="480" w:lineRule="auto"/>
        <w:ind w:left="720" w:right="-720" w:hanging="720"/>
      </w:pPr>
      <w:r>
        <w:t xml:space="preserve">Pina, A., Gannon, T. A., &amp; Saunders, B. (2009). An overview of the literature on sexual harassment: Perpetrator, theory, and treatment issues. </w:t>
      </w:r>
      <w:r>
        <w:rPr>
          <w:i/>
          <w:iCs/>
        </w:rPr>
        <w:t>Aggression and Violent Behavior, 14</w:t>
      </w:r>
      <w:r>
        <w:t xml:space="preserve">, 126-138. </w:t>
      </w:r>
    </w:p>
    <w:p w14:paraId="133DB706" w14:textId="77777777" w:rsidR="009C2288" w:rsidRDefault="009C2288" w:rsidP="009C2288">
      <w:pPr>
        <w:widowControl w:val="0"/>
        <w:autoSpaceDE w:val="0"/>
        <w:autoSpaceDN w:val="0"/>
        <w:adjustRightInd w:val="0"/>
        <w:spacing w:line="480" w:lineRule="auto"/>
        <w:ind w:left="720" w:right="-720" w:hanging="720"/>
      </w:pPr>
      <w:r>
        <w:t xml:space="preserve">Raskin, R., &amp; Terry, H. (1988). A principal-components analysis of the Narcissistic Personality Inventory and further evidence of its construct validity. </w:t>
      </w:r>
      <w:r>
        <w:rPr>
          <w:i/>
          <w:iCs/>
        </w:rPr>
        <w:t>Journal of Personality and Social psychology, 54</w:t>
      </w:r>
      <w:r>
        <w:t xml:space="preserve">, 890. </w:t>
      </w:r>
    </w:p>
    <w:p w14:paraId="41A3103C" w14:textId="06E64D89" w:rsidR="009C2288" w:rsidRDefault="009C2288" w:rsidP="009C2288">
      <w:pPr>
        <w:widowControl w:val="0"/>
        <w:autoSpaceDE w:val="0"/>
        <w:autoSpaceDN w:val="0"/>
        <w:adjustRightInd w:val="0"/>
        <w:spacing w:line="480" w:lineRule="auto"/>
        <w:ind w:left="720" w:right="-720" w:hanging="720"/>
      </w:pPr>
      <w:r>
        <w:t xml:space="preserve">Rudman, L. A., &amp; Mescher, K. (2012). Of animals and objects: Men’s implicit dehumanization of women and likelihood of sexual aggression. </w:t>
      </w:r>
      <w:r>
        <w:rPr>
          <w:i/>
          <w:iCs/>
        </w:rPr>
        <w:t>Personality and Social Psychology Bulletin, 38</w:t>
      </w:r>
      <w:r>
        <w:t xml:space="preserve">, 734-746. </w:t>
      </w:r>
    </w:p>
    <w:p w14:paraId="4C39390A" w14:textId="5599BBB4" w:rsidR="000809AA" w:rsidRDefault="000809AA" w:rsidP="000809AA">
      <w:pPr>
        <w:widowControl w:val="0"/>
        <w:autoSpaceDE w:val="0"/>
        <w:autoSpaceDN w:val="0"/>
        <w:adjustRightInd w:val="0"/>
        <w:spacing w:line="480" w:lineRule="auto"/>
        <w:ind w:left="720" w:right="-720" w:hanging="720"/>
      </w:pPr>
      <w:r w:rsidRPr="000809AA">
        <w:t>Sellbom, M., Donnelly, K. M., Rock, R. C., Phillips, T. R., &amp; Ben-Porath, Y. S. (2017). Examining gender as moderating the association between psychopathy and substance abuse. </w:t>
      </w:r>
      <w:r w:rsidRPr="000809AA">
        <w:rPr>
          <w:i/>
          <w:iCs/>
        </w:rPr>
        <w:t>Psychology, Crime &amp; Law</w:t>
      </w:r>
      <w:r w:rsidRPr="000809AA">
        <w:t>, </w:t>
      </w:r>
      <w:r w:rsidRPr="000809AA">
        <w:rPr>
          <w:i/>
          <w:iCs/>
        </w:rPr>
        <w:t>23</w:t>
      </w:r>
      <w:r w:rsidRPr="000809AA">
        <w:t>, 376-390.</w:t>
      </w:r>
    </w:p>
    <w:p w14:paraId="27B2AA56" w14:textId="77777777" w:rsidR="009C2288" w:rsidRDefault="009C2288" w:rsidP="009C2288">
      <w:pPr>
        <w:widowControl w:val="0"/>
        <w:autoSpaceDE w:val="0"/>
        <w:autoSpaceDN w:val="0"/>
        <w:adjustRightInd w:val="0"/>
        <w:spacing w:line="480" w:lineRule="auto"/>
        <w:ind w:left="720" w:right="-720" w:hanging="720"/>
      </w:pPr>
      <w:r>
        <w:t xml:space="preserve">Serin, R. C., Mailloux, D. L., &amp; Malcolm, P. B. (2001). Psychopathy, deviant sexual arousal, and recidivism among sexual offenders. </w:t>
      </w:r>
      <w:r>
        <w:rPr>
          <w:i/>
        </w:rPr>
        <w:t>Journal of Interpersonal Violence</w:t>
      </w:r>
      <w:r>
        <w:t xml:space="preserve">, </w:t>
      </w:r>
      <w:r>
        <w:rPr>
          <w:i/>
        </w:rPr>
        <w:t>16</w:t>
      </w:r>
      <w:r>
        <w:t>, 234-246.</w:t>
      </w:r>
    </w:p>
    <w:p w14:paraId="0C3D653C" w14:textId="77777777" w:rsidR="009C2288" w:rsidRDefault="009C2288" w:rsidP="009C2288">
      <w:pPr>
        <w:widowControl w:val="0"/>
        <w:autoSpaceDE w:val="0"/>
        <w:autoSpaceDN w:val="0"/>
        <w:adjustRightInd w:val="0"/>
        <w:spacing w:line="480" w:lineRule="auto"/>
        <w:ind w:left="720" w:right="-720" w:hanging="720"/>
      </w:pPr>
      <w:r>
        <w:t>Shamay-Tsoory, S. G., Aharon-Peretz, J., &amp; Perry, D. (2009). Two systems for empathy: a double dissociation between emotional and cognitive empathy in inferior frontal gyrus versus ventromedial prefrontal lesions. </w:t>
      </w:r>
      <w:r>
        <w:rPr>
          <w:i/>
          <w:iCs/>
        </w:rPr>
        <w:t>Brain</w:t>
      </w:r>
      <w:r>
        <w:t>, </w:t>
      </w:r>
      <w:r>
        <w:rPr>
          <w:i/>
          <w:iCs/>
        </w:rPr>
        <w:t>132</w:t>
      </w:r>
      <w:r>
        <w:t>, 617-627.</w:t>
      </w:r>
    </w:p>
    <w:p w14:paraId="2A6166EB" w14:textId="77777777" w:rsidR="009C2288" w:rsidRDefault="009C2288" w:rsidP="009C2288">
      <w:pPr>
        <w:widowControl w:val="0"/>
        <w:autoSpaceDE w:val="0"/>
        <w:autoSpaceDN w:val="0"/>
        <w:adjustRightInd w:val="0"/>
        <w:spacing w:line="480" w:lineRule="auto"/>
        <w:ind w:left="720" w:right="-720" w:hanging="720"/>
      </w:pPr>
      <w:r>
        <w:t>Sharma, L., Markon, K. E., &amp; Clark, L. A. (2014). Toward a theory of distinct types of “impulsive” behaviors: A meta-analysis of self-report and behavioral measures. </w:t>
      </w:r>
      <w:r>
        <w:rPr>
          <w:i/>
          <w:iCs/>
        </w:rPr>
        <w:t>Psychological Bulletin, 140</w:t>
      </w:r>
      <w:r>
        <w:t xml:space="preserve">, </w:t>
      </w:r>
      <w:r>
        <w:lastRenderedPageBreak/>
        <w:t>374-408.</w:t>
      </w:r>
    </w:p>
    <w:p w14:paraId="75B62115" w14:textId="77777777" w:rsidR="009C2288" w:rsidRDefault="009C2288" w:rsidP="009C2288">
      <w:pPr>
        <w:widowControl w:val="0"/>
        <w:autoSpaceDE w:val="0"/>
        <w:autoSpaceDN w:val="0"/>
        <w:adjustRightInd w:val="0"/>
        <w:spacing w:line="480" w:lineRule="auto"/>
        <w:ind w:left="720" w:right="-720" w:hanging="720"/>
      </w:pPr>
      <w:r>
        <w:t>Spector, P. E. (2006). Method variance in organizational research: truth or urban legend? </w:t>
      </w:r>
      <w:r>
        <w:rPr>
          <w:i/>
          <w:iCs/>
        </w:rPr>
        <w:t>Organizational Research Methods</w:t>
      </w:r>
      <w:r>
        <w:t>, </w:t>
      </w:r>
      <w:r>
        <w:rPr>
          <w:i/>
          <w:iCs/>
        </w:rPr>
        <w:t>9</w:t>
      </w:r>
      <w:r>
        <w:t>, 221-232.</w:t>
      </w:r>
    </w:p>
    <w:p w14:paraId="6720090E" w14:textId="77777777" w:rsidR="009C2288" w:rsidRDefault="009C2288" w:rsidP="009C2288">
      <w:pPr>
        <w:widowControl w:val="0"/>
        <w:autoSpaceDE w:val="0"/>
        <w:autoSpaceDN w:val="0"/>
        <w:adjustRightInd w:val="0"/>
        <w:spacing w:line="480" w:lineRule="auto"/>
        <w:ind w:left="720" w:right="-720" w:hanging="720"/>
      </w:pPr>
      <w:r>
        <w:t xml:space="preserve">Stemple, L., Flores, A., &amp; Meyer, I. H. (2017). Sexual victimization perpetrated by women: Federal data reveal surprising prevalence. </w:t>
      </w:r>
      <w:r>
        <w:rPr>
          <w:i/>
        </w:rPr>
        <w:t>Aggression and Violent Behavior</w:t>
      </w:r>
      <w:r>
        <w:t>, 34, 302-311.</w:t>
      </w:r>
    </w:p>
    <w:p w14:paraId="5308439D" w14:textId="77777777" w:rsidR="009C2288" w:rsidRDefault="009C2288" w:rsidP="009C2288">
      <w:pPr>
        <w:widowControl w:val="0"/>
        <w:autoSpaceDE w:val="0"/>
        <w:autoSpaceDN w:val="0"/>
        <w:adjustRightInd w:val="0"/>
        <w:spacing w:line="480" w:lineRule="auto"/>
        <w:ind w:left="720" w:right="-720" w:hanging="720"/>
      </w:pPr>
      <w:r>
        <w:t xml:space="preserve">Stillman, T. F., Yamawaki, N., Ridge, R. D., White, P. H., &amp; Copley, K. J. (2009). Comparing predictors of sexual harassment proclivity between Japanese and US Men. </w:t>
      </w:r>
      <w:r>
        <w:rPr>
          <w:i/>
          <w:iCs/>
        </w:rPr>
        <w:t>Psychology of Men &amp; Masculinity, 10</w:t>
      </w:r>
      <w:r>
        <w:t xml:space="preserve">, 30. </w:t>
      </w:r>
    </w:p>
    <w:p w14:paraId="7F16BC97" w14:textId="77777777" w:rsidR="009C2288" w:rsidRDefault="009C2288" w:rsidP="009C2288">
      <w:pPr>
        <w:widowControl w:val="0"/>
        <w:autoSpaceDE w:val="0"/>
        <w:autoSpaceDN w:val="0"/>
        <w:adjustRightInd w:val="0"/>
        <w:spacing w:line="480" w:lineRule="auto"/>
        <w:ind w:left="720" w:right="-720" w:hanging="720"/>
      </w:pPr>
      <w:r>
        <w:t xml:space="preserve">Suarez, E., &amp; Gadalla, T. M. (2010). Stop blaming the victim: A meta-analysis on rape myths. </w:t>
      </w:r>
      <w:r>
        <w:rPr>
          <w:i/>
          <w:iCs/>
        </w:rPr>
        <w:t>Journal of Interpersonal Violence, 25</w:t>
      </w:r>
      <w:r>
        <w:t xml:space="preserve">, 2010-2035. </w:t>
      </w:r>
    </w:p>
    <w:p w14:paraId="264DF5E7" w14:textId="77777777" w:rsidR="009C2288" w:rsidRDefault="009C2288" w:rsidP="009C2288">
      <w:pPr>
        <w:widowControl w:val="0"/>
        <w:autoSpaceDE w:val="0"/>
        <w:autoSpaceDN w:val="0"/>
        <w:adjustRightInd w:val="0"/>
        <w:spacing w:line="480" w:lineRule="auto"/>
        <w:ind w:left="720" w:right="-720" w:hanging="720"/>
      </w:pPr>
      <w:r>
        <w:t xml:space="preserve">Vachon, D. D., &amp; Lynam, D. R. (2016). Fixing the problem with empathy: Development and validation of the affective and cognitive measure of empathy. </w:t>
      </w:r>
      <w:r>
        <w:rPr>
          <w:i/>
          <w:iCs/>
        </w:rPr>
        <w:t>Assessment, 23</w:t>
      </w:r>
      <w:r>
        <w:t xml:space="preserve">, 135-149. </w:t>
      </w:r>
    </w:p>
    <w:p w14:paraId="17DF5AF0" w14:textId="77777777" w:rsidR="009C2288" w:rsidRDefault="009C2288" w:rsidP="009C2288">
      <w:pPr>
        <w:widowControl w:val="0"/>
        <w:autoSpaceDE w:val="0"/>
        <w:autoSpaceDN w:val="0"/>
        <w:adjustRightInd w:val="0"/>
        <w:spacing w:line="480" w:lineRule="auto"/>
        <w:ind w:left="720" w:right="-720" w:hanging="720"/>
      </w:pPr>
      <w:r>
        <w:t>Vasquez, E. A., Ball, L., Loughnan, S., &amp; Pina, A. (2018). The object of my aggression: Sexual objectification increases physical aggression toward women. </w:t>
      </w:r>
      <w:r>
        <w:rPr>
          <w:i/>
          <w:iCs/>
        </w:rPr>
        <w:t>Aggressive Behavior</w:t>
      </w:r>
      <w:r>
        <w:t>, </w:t>
      </w:r>
      <w:r>
        <w:rPr>
          <w:i/>
          <w:iCs/>
        </w:rPr>
        <w:t>44</w:t>
      </w:r>
      <w:r>
        <w:t>, 5-17.</w:t>
      </w:r>
    </w:p>
    <w:p w14:paraId="6EB06F9E" w14:textId="77777777" w:rsidR="009C2288" w:rsidRDefault="009C2288" w:rsidP="009C2288">
      <w:pPr>
        <w:widowControl w:val="0"/>
        <w:autoSpaceDE w:val="0"/>
        <w:autoSpaceDN w:val="0"/>
        <w:adjustRightInd w:val="0"/>
        <w:spacing w:line="480" w:lineRule="auto"/>
        <w:ind w:left="720" w:right="-720" w:hanging="720"/>
      </w:pPr>
      <w:r>
        <w:t>Verona, E., &amp; Vitale, J. (2018). Psychopathy in women: Assessment, manifestations, and etiology. In C. J. Patrick (Ed.), </w:t>
      </w:r>
      <w:r>
        <w:rPr>
          <w:i/>
          <w:iCs/>
        </w:rPr>
        <w:t>Handbook of psychopathy</w:t>
      </w:r>
      <w:r>
        <w:t> (pp. 509-528). New York, NY, US: The Guilford Press.</w:t>
      </w:r>
    </w:p>
    <w:p w14:paraId="01B6F6B7" w14:textId="77777777" w:rsidR="009C2288" w:rsidRDefault="009C2288" w:rsidP="009C2288">
      <w:pPr>
        <w:widowControl w:val="0"/>
        <w:autoSpaceDE w:val="0"/>
        <w:autoSpaceDN w:val="0"/>
        <w:adjustRightInd w:val="0"/>
        <w:spacing w:line="480" w:lineRule="auto"/>
        <w:ind w:left="720" w:right="-720" w:hanging="720"/>
      </w:pPr>
      <w:r>
        <w:t xml:space="preserve">Walsh, Z., Swogger, M. T., &amp; Kosson, D. S. (2009). Psychopathy and instrumental violence: Facet level relationships. </w:t>
      </w:r>
      <w:r>
        <w:rPr>
          <w:i/>
          <w:iCs/>
        </w:rPr>
        <w:t>Journal of Personality Disorders, 23</w:t>
      </w:r>
      <w:r>
        <w:t xml:space="preserve">, 416-424. </w:t>
      </w:r>
    </w:p>
    <w:p w14:paraId="632376C3" w14:textId="77777777" w:rsidR="009C2288" w:rsidRDefault="009C2288" w:rsidP="009C2288">
      <w:pPr>
        <w:widowControl w:val="0"/>
        <w:autoSpaceDE w:val="0"/>
        <w:autoSpaceDN w:val="0"/>
        <w:adjustRightInd w:val="0"/>
        <w:spacing w:line="480" w:lineRule="auto"/>
        <w:ind w:left="720" w:right="-720" w:hanging="720"/>
      </w:pPr>
      <w:r>
        <w:t xml:space="preserve">Ward, L. M. (2016). Media and sexualization: State of empirical research, 1995–2015. </w:t>
      </w:r>
      <w:r>
        <w:rPr>
          <w:i/>
          <w:iCs/>
        </w:rPr>
        <w:t>The Journal of Sex Research, 53</w:t>
      </w:r>
      <w:r>
        <w:t xml:space="preserve">, 560-577. </w:t>
      </w:r>
    </w:p>
    <w:p w14:paraId="628FFE17" w14:textId="77777777" w:rsidR="009C2288" w:rsidRDefault="009C2288" w:rsidP="009C2288">
      <w:pPr>
        <w:widowControl w:val="0"/>
        <w:autoSpaceDE w:val="0"/>
        <w:autoSpaceDN w:val="0"/>
        <w:adjustRightInd w:val="0"/>
        <w:spacing w:line="480" w:lineRule="auto"/>
        <w:ind w:left="720" w:right="-720" w:hanging="720"/>
      </w:pPr>
      <w:r>
        <w:t>Watts, A. L., Waldman, I. D., Smith, S. F., Poore, H. E., &amp; Lilienfeld, S. O. (2017). The nature and correlates of the dark triad: The answers depend on the questions. </w:t>
      </w:r>
      <w:r>
        <w:rPr>
          <w:i/>
          <w:iCs/>
        </w:rPr>
        <w:t xml:space="preserve">Journal of Abnormal </w:t>
      </w:r>
      <w:r>
        <w:rPr>
          <w:i/>
          <w:iCs/>
        </w:rPr>
        <w:lastRenderedPageBreak/>
        <w:t>Psychology</w:t>
      </w:r>
      <w:r>
        <w:t>, </w:t>
      </w:r>
      <w:r>
        <w:rPr>
          <w:i/>
          <w:iCs/>
        </w:rPr>
        <w:t>126</w:t>
      </w:r>
      <w:r>
        <w:t>, 951.</w:t>
      </w:r>
    </w:p>
    <w:p w14:paraId="4913B4BC" w14:textId="77777777" w:rsidR="009C2288" w:rsidRDefault="009C2288" w:rsidP="009C2288">
      <w:pPr>
        <w:widowControl w:val="0"/>
        <w:autoSpaceDE w:val="0"/>
        <w:autoSpaceDN w:val="0"/>
        <w:adjustRightInd w:val="0"/>
        <w:spacing w:line="480" w:lineRule="auto"/>
        <w:ind w:left="720" w:right="-720" w:hanging="720"/>
      </w:pPr>
      <w:r>
        <w:t xml:space="preserve">Watts, A. L., Bowes, S. M., Latzman, R. D., &amp; Lilienfeld, S. O. (2017). Psychopathic traits predict harsh attitudes toward rape victims among undergraduates. </w:t>
      </w:r>
      <w:r>
        <w:rPr>
          <w:i/>
          <w:iCs/>
        </w:rPr>
        <w:t>Personality and Individual Differences, 106</w:t>
      </w:r>
      <w:r>
        <w:t xml:space="preserve">, 1-5. </w:t>
      </w:r>
    </w:p>
    <w:p w14:paraId="14097E38" w14:textId="77777777" w:rsidR="009C2288" w:rsidRDefault="009C2288" w:rsidP="009C2288">
      <w:pPr>
        <w:widowControl w:val="0"/>
        <w:autoSpaceDE w:val="0"/>
        <w:autoSpaceDN w:val="0"/>
        <w:adjustRightInd w:val="0"/>
        <w:spacing w:line="480" w:lineRule="auto"/>
        <w:ind w:left="720" w:right="-720" w:hanging="720"/>
      </w:pPr>
      <w:r>
        <w:t>Widman, L., &amp; McNulty, J. K. (2010). Sexual narcissism and the perpetration of sexual aggression. </w:t>
      </w:r>
      <w:r>
        <w:rPr>
          <w:i/>
          <w:iCs/>
        </w:rPr>
        <w:t>Archives of Sexual Behavior</w:t>
      </w:r>
      <w:r>
        <w:t>, </w:t>
      </w:r>
      <w:r>
        <w:rPr>
          <w:i/>
          <w:iCs/>
        </w:rPr>
        <w:t>39</w:t>
      </w:r>
      <w:r>
        <w:t>, 926-939.</w:t>
      </w:r>
    </w:p>
    <w:p w14:paraId="4B3BEFBA" w14:textId="77777777" w:rsidR="009C2288" w:rsidRDefault="009C2288" w:rsidP="009C2288">
      <w:pPr>
        <w:widowControl w:val="0"/>
        <w:autoSpaceDE w:val="0"/>
        <w:autoSpaceDN w:val="0"/>
        <w:adjustRightInd w:val="0"/>
        <w:spacing w:line="480" w:lineRule="auto"/>
        <w:ind w:left="720" w:right="-720" w:hanging="720"/>
      </w:pPr>
      <w:r>
        <w:t xml:space="preserve">Williams, K. M., Cooper, B. S., Howell, T. M., Yuille, J. C., &amp; Paulhus, D. L. (2009). Inferring sexually deviant behavior from corresponding fantasies: The role of personality and pornography consumption. </w:t>
      </w:r>
      <w:r>
        <w:rPr>
          <w:i/>
          <w:iCs/>
        </w:rPr>
        <w:t>Criminal Justice and Behavior, 36</w:t>
      </w:r>
      <w:r>
        <w:t xml:space="preserve">, 198-222. </w:t>
      </w:r>
    </w:p>
    <w:p w14:paraId="5568940D" w14:textId="77777777" w:rsidR="009C2288" w:rsidRDefault="009C2288" w:rsidP="009C2288">
      <w:pPr>
        <w:widowControl w:val="0"/>
        <w:autoSpaceDE w:val="0"/>
        <w:autoSpaceDN w:val="0"/>
        <w:adjustRightInd w:val="0"/>
        <w:spacing w:line="480" w:lineRule="auto"/>
        <w:ind w:left="720" w:right="-720" w:hanging="720"/>
      </w:pPr>
      <w:r>
        <w:t xml:space="preserve">Wilson, S., Stroud, C. B., &amp; Durbin, C. E. (2017). Interpersonal dysfunction in personality disorders: A meta-analytic review. </w:t>
      </w:r>
      <w:r>
        <w:rPr>
          <w:i/>
          <w:iCs/>
        </w:rPr>
        <w:t>Psychological Bulletin, 143</w:t>
      </w:r>
      <w:r>
        <w:t xml:space="preserve">, 677. </w:t>
      </w:r>
    </w:p>
    <w:p w14:paraId="2B197538" w14:textId="364CFE39" w:rsidR="006C2289" w:rsidRDefault="009C2288" w:rsidP="00A9650C">
      <w:pPr>
        <w:widowControl w:val="0"/>
        <w:autoSpaceDE w:val="0"/>
        <w:autoSpaceDN w:val="0"/>
        <w:adjustRightInd w:val="0"/>
        <w:spacing w:line="480" w:lineRule="auto"/>
        <w:ind w:left="720" w:right="-720" w:hanging="720"/>
      </w:pPr>
      <w:r>
        <w:t xml:space="preserve">Zeigler-Hill, V., Besser, A., Morag, J., &amp; Campbell, W. K. (2016). The Dark Triad and sexual harassment proclivity. </w:t>
      </w:r>
      <w:r>
        <w:rPr>
          <w:i/>
          <w:iCs/>
        </w:rPr>
        <w:t>Personality and Individual Differences, 89</w:t>
      </w:r>
      <w:r w:rsidR="00957C6D">
        <w:t xml:space="preserve">, 47-54. </w:t>
      </w:r>
    </w:p>
    <w:p w14:paraId="42C1AE11" w14:textId="3802A2B6" w:rsidR="00957C6D" w:rsidRDefault="00957C6D" w:rsidP="00A9650C">
      <w:pPr>
        <w:widowControl w:val="0"/>
        <w:autoSpaceDE w:val="0"/>
        <w:autoSpaceDN w:val="0"/>
        <w:adjustRightInd w:val="0"/>
        <w:spacing w:line="480" w:lineRule="auto"/>
        <w:ind w:left="720" w:right="-720" w:hanging="720"/>
      </w:pPr>
    </w:p>
    <w:p w14:paraId="408AC4B3" w14:textId="221ECC39" w:rsidR="004452D2" w:rsidRDefault="004452D2" w:rsidP="00895E39">
      <w:pPr>
        <w:rPr>
          <w:sz w:val="21"/>
        </w:rPr>
      </w:pPr>
    </w:p>
    <w:p w14:paraId="128D6294" w14:textId="415D99F5" w:rsidR="003C6938" w:rsidRDefault="003C6938" w:rsidP="00895E39">
      <w:pPr>
        <w:rPr>
          <w:sz w:val="21"/>
        </w:rPr>
      </w:pPr>
    </w:p>
    <w:p w14:paraId="3EE834D4" w14:textId="52ED6172" w:rsidR="003C6938" w:rsidRDefault="003C6938" w:rsidP="00895E39">
      <w:pPr>
        <w:rPr>
          <w:sz w:val="21"/>
        </w:rPr>
      </w:pPr>
    </w:p>
    <w:p w14:paraId="77C03DB5" w14:textId="558BBFFC" w:rsidR="003C6938" w:rsidRDefault="003C6938" w:rsidP="00895E39">
      <w:pPr>
        <w:rPr>
          <w:sz w:val="21"/>
        </w:rPr>
      </w:pPr>
    </w:p>
    <w:p w14:paraId="6D5105A1" w14:textId="1D8683BB" w:rsidR="003C6938" w:rsidRDefault="003C6938" w:rsidP="00895E39">
      <w:pPr>
        <w:rPr>
          <w:sz w:val="21"/>
        </w:rPr>
      </w:pPr>
    </w:p>
    <w:p w14:paraId="4C78585A" w14:textId="637D0B24" w:rsidR="003C6938" w:rsidRDefault="003C6938" w:rsidP="00895E39">
      <w:pPr>
        <w:rPr>
          <w:sz w:val="21"/>
        </w:rPr>
      </w:pPr>
    </w:p>
    <w:p w14:paraId="4F216089" w14:textId="5A9CC6DE" w:rsidR="003C6938" w:rsidRDefault="003C6938" w:rsidP="00895E39">
      <w:pPr>
        <w:rPr>
          <w:sz w:val="21"/>
        </w:rPr>
      </w:pPr>
    </w:p>
    <w:p w14:paraId="4B861507" w14:textId="288FD93C" w:rsidR="003C6938" w:rsidRDefault="003C6938" w:rsidP="00895E39">
      <w:pPr>
        <w:rPr>
          <w:sz w:val="21"/>
        </w:rPr>
      </w:pPr>
    </w:p>
    <w:p w14:paraId="318D93C3" w14:textId="2431EF78" w:rsidR="003C6938" w:rsidRDefault="003C6938" w:rsidP="00895E39">
      <w:pPr>
        <w:rPr>
          <w:sz w:val="21"/>
        </w:rPr>
      </w:pPr>
    </w:p>
    <w:p w14:paraId="2ABC8644" w14:textId="3701614F" w:rsidR="003C6938" w:rsidRDefault="003C6938" w:rsidP="00895E39">
      <w:pPr>
        <w:rPr>
          <w:sz w:val="21"/>
        </w:rPr>
      </w:pPr>
    </w:p>
    <w:p w14:paraId="4AFEDA0E" w14:textId="5DF83A93" w:rsidR="003C6938" w:rsidRDefault="003C6938" w:rsidP="00895E39">
      <w:pPr>
        <w:rPr>
          <w:sz w:val="21"/>
        </w:rPr>
      </w:pPr>
    </w:p>
    <w:p w14:paraId="16EC066D" w14:textId="4F3B9FCB" w:rsidR="003C6938" w:rsidRDefault="003C6938" w:rsidP="00895E39">
      <w:pPr>
        <w:rPr>
          <w:sz w:val="21"/>
        </w:rPr>
      </w:pPr>
    </w:p>
    <w:p w14:paraId="3D6E14B9" w14:textId="31F55761" w:rsidR="003C6938" w:rsidRDefault="003C6938" w:rsidP="00895E39">
      <w:pPr>
        <w:rPr>
          <w:sz w:val="21"/>
        </w:rPr>
      </w:pPr>
    </w:p>
    <w:p w14:paraId="2C25F516" w14:textId="302139A9" w:rsidR="003C6938" w:rsidRDefault="003C6938" w:rsidP="00895E39">
      <w:pPr>
        <w:rPr>
          <w:sz w:val="21"/>
        </w:rPr>
      </w:pPr>
    </w:p>
    <w:p w14:paraId="05ADD4C0" w14:textId="411D2259" w:rsidR="003C6938" w:rsidRDefault="003C6938" w:rsidP="00895E39">
      <w:pPr>
        <w:rPr>
          <w:sz w:val="21"/>
        </w:rPr>
      </w:pPr>
    </w:p>
    <w:p w14:paraId="15BB9723" w14:textId="739F8189" w:rsidR="003C6938" w:rsidRDefault="003C6938" w:rsidP="00895E39">
      <w:pPr>
        <w:rPr>
          <w:sz w:val="21"/>
        </w:rPr>
      </w:pPr>
    </w:p>
    <w:p w14:paraId="49395B75" w14:textId="5D8DF2B6" w:rsidR="003C6938" w:rsidRDefault="003C6938" w:rsidP="00895E39">
      <w:pPr>
        <w:rPr>
          <w:sz w:val="21"/>
        </w:rPr>
      </w:pPr>
    </w:p>
    <w:p w14:paraId="29A5151F" w14:textId="32878399" w:rsidR="003C6938" w:rsidRDefault="003C6938" w:rsidP="00895E39">
      <w:pPr>
        <w:rPr>
          <w:sz w:val="21"/>
        </w:rPr>
      </w:pPr>
    </w:p>
    <w:p w14:paraId="13D05CB3" w14:textId="1A2C3F0C" w:rsidR="003C6938" w:rsidRDefault="003C6938" w:rsidP="00895E39">
      <w:pPr>
        <w:rPr>
          <w:sz w:val="21"/>
        </w:rPr>
      </w:pPr>
    </w:p>
    <w:p w14:paraId="2E7B7F62" w14:textId="0AC2B70A" w:rsidR="003C6938" w:rsidRDefault="003C6938" w:rsidP="00895E39">
      <w:pPr>
        <w:rPr>
          <w:sz w:val="21"/>
        </w:rPr>
      </w:pPr>
    </w:p>
    <w:p w14:paraId="6AF4A112" w14:textId="029D8FE6" w:rsidR="003C6938" w:rsidRDefault="003C6938" w:rsidP="00895E39">
      <w:pPr>
        <w:rPr>
          <w:sz w:val="21"/>
        </w:rPr>
      </w:pPr>
    </w:p>
    <w:p w14:paraId="0BC53380" w14:textId="77777777" w:rsidR="003C6938" w:rsidRDefault="003C6938" w:rsidP="00895E39">
      <w:pPr>
        <w:rPr>
          <w:sz w:val="21"/>
        </w:rPr>
        <w:sectPr w:rsidR="003C6938" w:rsidSect="00140FD8">
          <w:headerReference w:type="default" r:id="rId13"/>
          <w:headerReference w:type="first" r:id="rId14"/>
          <w:pgSz w:w="12240" w:h="15840"/>
          <w:pgMar w:top="1440" w:right="1440" w:bottom="1440" w:left="1440" w:header="720" w:footer="720" w:gutter="0"/>
          <w:pgNumType w:start="1"/>
          <w:cols w:space="720"/>
          <w:titlePg/>
          <w:docGrid w:linePitch="360"/>
        </w:sectPr>
      </w:pPr>
    </w:p>
    <w:p w14:paraId="71A62C0A" w14:textId="28C43F82" w:rsidR="003C6938" w:rsidRDefault="003C6938" w:rsidP="00895E39">
      <w:pPr>
        <w:rPr>
          <w:sz w:val="21"/>
        </w:rPr>
      </w:pPr>
    </w:p>
    <w:tbl>
      <w:tblPr>
        <w:tblpPr w:leftFromText="180" w:rightFromText="180" w:vertAnchor="text" w:horzAnchor="page" w:tblpX="1090" w:tblpY="-171"/>
        <w:tblW w:w="13747" w:type="dxa"/>
        <w:tblLayout w:type="fixed"/>
        <w:tblLook w:val="04A0" w:firstRow="1" w:lastRow="0" w:firstColumn="1" w:lastColumn="0" w:noHBand="0" w:noVBand="1"/>
      </w:tblPr>
      <w:tblGrid>
        <w:gridCol w:w="9041"/>
        <w:gridCol w:w="531"/>
        <w:gridCol w:w="531"/>
        <w:gridCol w:w="616"/>
        <w:gridCol w:w="536"/>
        <w:gridCol w:w="236"/>
        <w:gridCol w:w="483"/>
        <w:gridCol w:w="48"/>
        <w:gridCol w:w="568"/>
        <w:gridCol w:w="616"/>
        <w:gridCol w:w="531"/>
        <w:gridCol w:w="10"/>
      </w:tblGrid>
      <w:tr w:rsidR="003C6938" w:rsidRPr="00E84D59" w14:paraId="039DE7E8" w14:textId="77777777" w:rsidTr="003C6938">
        <w:trPr>
          <w:gridAfter w:val="3"/>
          <w:wAfter w:w="1157" w:type="dxa"/>
          <w:trHeight w:val="304"/>
        </w:trPr>
        <w:tc>
          <w:tcPr>
            <w:tcW w:w="11974" w:type="dxa"/>
            <w:gridSpan w:val="7"/>
            <w:tcBorders>
              <w:top w:val="nil"/>
              <w:left w:val="nil"/>
              <w:bottom w:val="single" w:sz="4" w:space="0" w:color="000000" w:themeColor="text1"/>
              <w:right w:val="nil"/>
            </w:tcBorders>
          </w:tcPr>
          <w:p w14:paraId="14681F8D" w14:textId="28C43F82" w:rsidR="003C6938" w:rsidRPr="00E84D59" w:rsidRDefault="003C6938" w:rsidP="003C6938">
            <w:r w:rsidRPr="00E84D59">
              <w:t xml:space="preserve">Table 1. </w:t>
            </w:r>
            <w:r w:rsidRPr="00E84D59">
              <w:rPr>
                <w:i/>
              </w:rPr>
              <w:t>Factor loadings and standard errors for the ISOS-PR.</w:t>
            </w:r>
            <w:r w:rsidRPr="00E84D59">
              <w:t xml:space="preserve"> </w:t>
            </w:r>
          </w:p>
        </w:tc>
        <w:tc>
          <w:tcPr>
            <w:tcW w:w="616" w:type="dxa"/>
            <w:gridSpan w:val="2"/>
            <w:tcBorders>
              <w:top w:val="nil"/>
              <w:left w:val="nil"/>
              <w:bottom w:val="single" w:sz="4" w:space="0" w:color="000000" w:themeColor="text1"/>
              <w:right w:val="nil"/>
            </w:tcBorders>
          </w:tcPr>
          <w:p w14:paraId="798F257B" w14:textId="77777777" w:rsidR="003C6938" w:rsidRPr="00E84D59" w:rsidRDefault="003C6938" w:rsidP="003C6938">
            <w:pPr>
              <w:rPr>
                <w:b/>
              </w:rPr>
            </w:pPr>
          </w:p>
        </w:tc>
      </w:tr>
      <w:tr w:rsidR="003C6938" w:rsidRPr="00E84D59" w14:paraId="463893E2" w14:textId="77777777" w:rsidTr="003C6938">
        <w:trPr>
          <w:trHeight w:val="304"/>
        </w:trPr>
        <w:tc>
          <w:tcPr>
            <w:tcW w:w="9041" w:type="dxa"/>
            <w:tcBorders>
              <w:top w:val="single" w:sz="4" w:space="0" w:color="000000" w:themeColor="text1"/>
              <w:left w:val="nil"/>
              <w:bottom w:val="single" w:sz="2" w:space="0" w:color="000000" w:themeColor="text1"/>
              <w:right w:val="nil"/>
            </w:tcBorders>
            <w:shd w:val="clear" w:color="auto" w:fill="auto"/>
            <w:noWrap/>
            <w:vAlign w:val="bottom"/>
          </w:tcPr>
          <w:p w14:paraId="5BD66B73" w14:textId="77777777" w:rsidR="003C6938" w:rsidRPr="00E84D59" w:rsidRDefault="003C6938" w:rsidP="003C6938"/>
        </w:tc>
        <w:tc>
          <w:tcPr>
            <w:tcW w:w="2214" w:type="dxa"/>
            <w:gridSpan w:val="4"/>
            <w:tcBorders>
              <w:top w:val="single" w:sz="2" w:space="0" w:color="000000" w:themeColor="text1"/>
              <w:left w:val="nil"/>
              <w:bottom w:val="single" w:sz="2" w:space="0" w:color="000000" w:themeColor="text1"/>
              <w:right w:val="nil"/>
            </w:tcBorders>
            <w:shd w:val="clear" w:color="auto" w:fill="auto"/>
            <w:noWrap/>
            <w:vAlign w:val="center"/>
          </w:tcPr>
          <w:p w14:paraId="4BE4EF25" w14:textId="77777777" w:rsidR="003C6938" w:rsidRPr="00E84D59" w:rsidRDefault="003C6938" w:rsidP="003C6938">
            <w:pPr>
              <w:jc w:val="center"/>
            </w:pPr>
            <w:r w:rsidRPr="00E84D59">
              <w:t>Study 1</w:t>
            </w:r>
          </w:p>
        </w:tc>
        <w:tc>
          <w:tcPr>
            <w:tcW w:w="236" w:type="dxa"/>
            <w:tcBorders>
              <w:top w:val="single" w:sz="2" w:space="0" w:color="000000" w:themeColor="text1"/>
              <w:left w:val="nil"/>
              <w:bottom w:val="single" w:sz="4" w:space="0" w:color="FFFFFF" w:themeColor="background1"/>
              <w:right w:val="nil"/>
            </w:tcBorders>
          </w:tcPr>
          <w:p w14:paraId="28B74C83" w14:textId="77777777" w:rsidR="003C6938" w:rsidRPr="00E84D59" w:rsidRDefault="003C6938" w:rsidP="003C6938">
            <w:pPr>
              <w:jc w:val="center"/>
            </w:pPr>
          </w:p>
        </w:tc>
        <w:tc>
          <w:tcPr>
            <w:tcW w:w="2256" w:type="dxa"/>
            <w:gridSpan w:val="6"/>
            <w:tcBorders>
              <w:top w:val="single" w:sz="2" w:space="0" w:color="000000" w:themeColor="text1"/>
              <w:left w:val="nil"/>
              <w:bottom w:val="single" w:sz="2" w:space="0" w:color="000000" w:themeColor="text1"/>
              <w:right w:val="nil"/>
            </w:tcBorders>
            <w:shd w:val="clear" w:color="auto" w:fill="auto"/>
            <w:noWrap/>
            <w:vAlign w:val="center"/>
          </w:tcPr>
          <w:p w14:paraId="1AFF10EA" w14:textId="77777777" w:rsidR="003C6938" w:rsidRPr="00E84D59" w:rsidRDefault="003C6938" w:rsidP="003C6938">
            <w:pPr>
              <w:jc w:val="center"/>
            </w:pPr>
            <w:r w:rsidRPr="00E84D59">
              <w:t>Study 2</w:t>
            </w:r>
          </w:p>
        </w:tc>
      </w:tr>
      <w:tr w:rsidR="003C6938" w:rsidRPr="00E84D59" w14:paraId="75CA3D3E" w14:textId="77777777" w:rsidTr="003C6938">
        <w:trPr>
          <w:trHeight w:val="304"/>
        </w:trPr>
        <w:tc>
          <w:tcPr>
            <w:tcW w:w="9041" w:type="dxa"/>
            <w:tcBorders>
              <w:top w:val="single" w:sz="2" w:space="0" w:color="000000" w:themeColor="text1"/>
              <w:left w:val="nil"/>
              <w:bottom w:val="nil"/>
              <w:right w:val="nil"/>
            </w:tcBorders>
            <w:shd w:val="clear" w:color="auto" w:fill="auto"/>
            <w:noWrap/>
            <w:vAlign w:val="bottom"/>
          </w:tcPr>
          <w:p w14:paraId="038E2BC2" w14:textId="77777777" w:rsidR="003C6938" w:rsidRPr="00E84D59" w:rsidRDefault="003C6938" w:rsidP="003C6938"/>
        </w:tc>
        <w:tc>
          <w:tcPr>
            <w:tcW w:w="1062" w:type="dxa"/>
            <w:gridSpan w:val="2"/>
            <w:tcBorders>
              <w:top w:val="single" w:sz="2" w:space="0" w:color="000000" w:themeColor="text1"/>
              <w:left w:val="nil"/>
              <w:bottom w:val="nil"/>
              <w:right w:val="nil"/>
            </w:tcBorders>
            <w:shd w:val="clear" w:color="auto" w:fill="auto"/>
            <w:noWrap/>
            <w:vAlign w:val="bottom"/>
          </w:tcPr>
          <w:p w14:paraId="00315F1D" w14:textId="77777777" w:rsidR="003C6938" w:rsidRPr="00E84D59" w:rsidRDefault="003C6938" w:rsidP="003C6938">
            <w:pPr>
              <w:jc w:val="center"/>
            </w:pPr>
            <w:r w:rsidRPr="00E84D59">
              <w:t>BEH</w:t>
            </w:r>
          </w:p>
        </w:tc>
        <w:tc>
          <w:tcPr>
            <w:tcW w:w="1152" w:type="dxa"/>
            <w:gridSpan w:val="2"/>
            <w:tcBorders>
              <w:top w:val="single" w:sz="2" w:space="0" w:color="000000" w:themeColor="text1"/>
              <w:left w:val="nil"/>
              <w:bottom w:val="nil"/>
              <w:right w:val="nil"/>
            </w:tcBorders>
            <w:shd w:val="clear" w:color="auto" w:fill="auto"/>
            <w:noWrap/>
            <w:vAlign w:val="bottom"/>
          </w:tcPr>
          <w:p w14:paraId="011A8067" w14:textId="77777777" w:rsidR="003C6938" w:rsidRPr="00E84D59" w:rsidRDefault="003C6938" w:rsidP="003C6938">
            <w:pPr>
              <w:jc w:val="center"/>
            </w:pPr>
            <w:r w:rsidRPr="00E84D59">
              <w:t>ATT</w:t>
            </w:r>
          </w:p>
        </w:tc>
        <w:tc>
          <w:tcPr>
            <w:tcW w:w="236" w:type="dxa"/>
            <w:tcBorders>
              <w:top w:val="single" w:sz="4" w:space="0" w:color="FFFFFF" w:themeColor="background1"/>
              <w:left w:val="nil"/>
              <w:bottom w:val="single" w:sz="4" w:space="0" w:color="FFFFFF" w:themeColor="background1"/>
              <w:right w:val="nil"/>
            </w:tcBorders>
          </w:tcPr>
          <w:p w14:paraId="70BCB0FB" w14:textId="77777777" w:rsidR="003C6938" w:rsidRPr="00E84D59" w:rsidRDefault="003C6938" w:rsidP="003C6938">
            <w:pPr>
              <w:jc w:val="center"/>
            </w:pPr>
          </w:p>
        </w:tc>
        <w:tc>
          <w:tcPr>
            <w:tcW w:w="1099" w:type="dxa"/>
            <w:gridSpan w:val="3"/>
            <w:tcBorders>
              <w:top w:val="single" w:sz="2" w:space="0" w:color="000000" w:themeColor="text1"/>
              <w:left w:val="nil"/>
              <w:bottom w:val="nil"/>
              <w:right w:val="nil"/>
            </w:tcBorders>
            <w:shd w:val="clear" w:color="auto" w:fill="auto"/>
            <w:noWrap/>
            <w:vAlign w:val="bottom"/>
          </w:tcPr>
          <w:p w14:paraId="11DE72ED" w14:textId="77777777" w:rsidR="003C6938" w:rsidRPr="00E84D59" w:rsidRDefault="003C6938" w:rsidP="003C6938">
            <w:pPr>
              <w:jc w:val="center"/>
            </w:pPr>
            <w:r w:rsidRPr="00E84D59">
              <w:t>BEH</w:t>
            </w:r>
          </w:p>
        </w:tc>
        <w:tc>
          <w:tcPr>
            <w:tcW w:w="1157" w:type="dxa"/>
            <w:gridSpan w:val="3"/>
            <w:tcBorders>
              <w:top w:val="single" w:sz="2" w:space="0" w:color="000000" w:themeColor="text1"/>
              <w:left w:val="nil"/>
              <w:bottom w:val="nil"/>
              <w:right w:val="nil"/>
            </w:tcBorders>
          </w:tcPr>
          <w:p w14:paraId="1DEBAFF6" w14:textId="77777777" w:rsidR="003C6938" w:rsidRPr="00E84D59" w:rsidRDefault="003C6938" w:rsidP="003C6938">
            <w:pPr>
              <w:jc w:val="center"/>
            </w:pPr>
            <w:r w:rsidRPr="00E84D59">
              <w:t>ATT</w:t>
            </w:r>
          </w:p>
        </w:tc>
      </w:tr>
      <w:tr w:rsidR="003C6938" w:rsidRPr="00E84D59" w14:paraId="14FE21C9" w14:textId="77777777" w:rsidTr="003C6938">
        <w:trPr>
          <w:gridAfter w:val="1"/>
          <w:wAfter w:w="10" w:type="dxa"/>
          <w:trHeight w:val="304"/>
        </w:trPr>
        <w:tc>
          <w:tcPr>
            <w:tcW w:w="9041" w:type="dxa"/>
            <w:tcBorders>
              <w:top w:val="nil"/>
              <w:left w:val="nil"/>
              <w:bottom w:val="single" w:sz="6" w:space="0" w:color="auto"/>
              <w:right w:val="nil"/>
            </w:tcBorders>
            <w:shd w:val="clear" w:color="auto" w:fill="auto"/>
            <w:noWrap/>
            <w:vAlign w:val="bottom"/>
            <w:hideMark/>
          </w:tcPr>
          <w:p w14:paraId="6A9C5B4C" w14:textId="77777777" w:rsidR="003C6938" w:rsidRPr="00E84D59" w:rsidRDefault="003C6938" w:rsidP="003C6938"/>
        </w:tc>
        <w:tc>
          <w:tcPr>
            <w:tcW w:w="531" w:type="dxa"/>
            <w:tcBorders>
              <w:top w:val="nil"/>
              <w:left w:val="nil"/>
              <w:bottom w:val="single" w:sz="6" w:space="0" w:color="auto"/>
              <w:right w:val="nil"/>
            </w:tcBorders>
            <w:shd w:val="clear" w:color="auto" w:fill="auto"/>
            <w:noWrap/>
            <w:vAlign w:val="bottom"/>
          </w:tcPr>
          <w:p w14:paraId="0B67627B" w14:textId="77777777" w:rsidR="003C6938" w:rsidRPr="00E84D59" w:rsidRDefault="003C6938" w:rsidP="003C6938">
            <w:pPr>
              <w:jc w:val="center"/>
            </w:pPr>
            <w:r w:rsidRPr="00E84D59">
              <w:rPr>
                <w:shd w:val="clear" w:color="auto" w:fill="FFFFFF"/>
              </w:rPr>
              <w:t>λ</w:t>
            </w:r>
          </w:p>
        </w:tc>
        <w:tc>
          <w:tcPr>
            <w:tcW w:w="531" w:type="dxa"/>
            <w:tcBorders>
              <w:top w:val="nil"/>
              <w:left w:val="nil"/>
              <w:bottom w:val="single" w:sz="6" w:space="0" w:color="auto"/>
              <w:right w:val="nil"/>
            </w:tcBorders>
            <w:shd w:val="clear" w:color="auto" w:fill="auto"/>
            <w:noWrap/>
            <w:vAlign w:val="bottom"/>
          </w:tcPr>
          <w:p w14:paraId="1839C36E" w14:textId="77777777" w:rsidR="003C6938" w:rsidRPr="00E84D59" w:rsidRDefault="003C6938" w:rsidP="003C6938">
            <w:pPr>
              <w:jc w:val="center"/>
            </w:pPr>
            <w:r w:rsidRPr="00E84D59">
              <w:t>SE</w:t>
            </w:r>
          </w:p>
        </w:tc>
        <w:tc>
          <w:tcPr>
            <w:tcW w:w="616" w:type="dxa"/>
            <w:tcBorders>
              <w:top w:val="nil"/>
              <w:left w:val="nil"/>
              <w:bottom w:val="single" w:sz="6" w:space="0" w:color="auto"/>
              <w:right w:val="nil"/>
            </w:tcBorders>
            <w:shd w:val="clear" w:color="auto" w:fill="auto"/>
            <w:noWrap/>
            <w:vAlign w:val="bottom"/>
          </w:tcPr>
          <w:p w14:paraId="7B0B1605" w14:textId="77777777" w:rsidR="003C6938" w:rsidRPr="00E84D59" w:rsidRDefault="003C6938" w:rsidP="003C6938">
            <w:pPr>
              <w:jc w:val="center"/>
            </w:pPr>
            <w:r w:rsidRPr="00E84D59">
              <w:rPr>
                <w:shd w:val="clear" w:color="auto" w:fill="FFFFFF"/>
              </w:rPr>
              <w:t>λ</w:t>
            </w:r>
          </w:p>
        </w:tc>
        <w:tc>
          <w:tcPr>
            <w:tcW w:w="536" w:type="dxa"/>
            <w:tcBorders>
              <w:top w:val="nil"/>
              <w:left w:val="nil"/>
              <w:bottom w:val="single" w:sz="6" w:space="0" w:color="auto"/>
              <w:right w:val="nil"/>
            </w:tcBorders>
            <w:shd w:val="clear" w:color="auto" w:fill="auto"/>
            <w:noWrap/>
            <w:vAlign w:val="bottom"/>
          </w:tcPr>
          <w:p w14:paraId="7358AD75" w14:textId="77777777" w:rsidR="003C6938" w:rsidRPr="00E84D59" w:rsidRDefault="003C6938" w:rsidP="003C6938">
            <w:pPr>
              <w:jc w:val="center"/>
            </w:pPr>
            <w:r w:rsidRPr="00E84D59">
              <w:t>SE</w:t>
            </w:r>
          </w:p>
        </w:tc>
        <w:tc>
          <w:tcPr>
            <w:tcW w:w="236" w:type="dxa"/>
            <w:tcBorders>
              <w:top w:val="single" w:sz="4" w:space="0" w:color="FFFFFF" w:themeColor="background1"/>
              <w:left w:val="nil"/>
              <w:right w:val="nil"/>
            </w:tcBorders>
          </w:tcPr>
          <w:p w14:paraId="2C035438" w14:textId="77777777" w:rsidR="003C6938" w:rsidRPr="00E84D59" w:rsidRDefault="003C6938" w:rsidP="003C6938">
            <w:pPr>
              <w:jc w:val="center"/>
            </w:pPr>
          </w:p>
        </w:tc>
        <w:tc>
          <w:tcPr>
            <w:tcW w:w="531" w:type="dxa"/>
            <w:gridSpan w:val="2"/>
            <w:tcBorders>
              <w:top w:val="nil"/>
              <w:left w:val="nil"/>
              <w:bottom w:val="single" w:sz="6" w:space="0" w:color="auto"/>
              <w:right w:val="nil"/>
            </w:tcBorders>
            <w:shd w:val="clear" w:color="auto" w:fill="auto"/>
            <w:noWrap/>
            <w:vAlign w:val="bottom"/>
          </w:tcPr>
          <w:p w14:paraId="16C2C5C8" w14:textId="77777777" w:rsidR="003C6938" w:rsidRPr="00E84D59" w:rsidRDefault="003C6938" w:rsidP="003C6938">
            <w:pPr>
              <w:jc w:val="center"/>
            </w:pPr>
            <w:r w:rsidRPr="00E84D59">
              <w:rPr>
                <w:shd w:val="clear" w:color="auto" w:fill="FFFFFF"/>
              </w:rPr>
              <w:t>λ</w:t>
            </w:r>
          </w:p>
        </w:tc>
        <w:tc>
          <w:tcPr>
            <w:tcW w:w="568" w:type="dxa"/>
            <w:tcBorders>
              <w:top w:val="nil"/>
              <w:left w:val="nil"/>
              <w:bottom w:val="single" w:sz="6" w:space="0" w:color="auto"/>
              <w:right w:val="nil"/>
            </w:tcBorders>
            <w:shd w:val="clear" w:color="auto" w:fill="auto"/>
            <w:noWrap/>
            <w:vAlign w:val="bottom"/>
          </w:tcPr>
          <w:p w14:paraId="492A508A" w14:textId="77777777" w:rsidR="003C6938" w:rsidRPr="00E84D59" w:rsidRDefault="003C6938" w:rsidP="003C6938">
            <w:pPr>
              <w:jc w:val="center"/>
            </w:pPr>
            <w:r w:rsidRPr="00E84D59">
              <w:t>SE</w:t>
            </w:r>
          </w:p>
        </w:tc>
        <w:tc>
          <w:tcPr>
            <w:tcW w:w="616" w:type="dxa"/>
            <w:tcBorders>
              <w:top w:val="nil"/>
              <w:left w:val="nil"/>
              <w:bottom w:val="single" w:sz="6" w:space="0" w:color="auto"/>
              <w:right w:val="nil"/>
            </w:tcBorders>
            <w:vAlign w:val="bottom"/>
          </w:tcPr>
          <w:p w14:paraId="77609186" w14:textId="77777777" w:rsidR="003C6938" w:rsidRPr="00E84D59" w:rsidRDefault="003C6938" w:rsidP="003C6938">
            <w:pPr>
              <w:jc w:val="center"/>
            </w:pPr>
            <w:r w:rsidRPr="00E84D59">
              <w:rPr>
                <w:shd w:val="clear" w:color="auto" w:fill="FFFFFF"/>
              </w:rPr>
              <w:t>λ</w:t>
            </w:r>
          </w:p>
        </w:tc>
        <w:tc>
          <w:tcPr>
            <w:tcW w:w="531" w:type="dxa"/>
            <w:tcBorders>
              <w:top w:val="nil"/>
              <w:left w:val="nil"/>
              <w:bottom w:val="single" w:sz="6" w:space="0" w:color="auto"/>
              <w:right w:val="nil"/>
            </w:tcBorders>
            <w:vAlign w:val="bottom"/>
          </w:tcPr>
          <w:p w14:paraId="4EBBC840" w14:textId="77777777" w:rsidR="003C6938" w:rsidRPr="00E84D59" w:rsidRDefault="003C6938" w:rsidP="003C6938">
            <w:pPr>
              <w:jc w:val="center"/>
            </w:pPr>
            <w:r w:rsidRPr="00E84D59">
              <w:t>SE</w:t>
            </w:r>
          </w:p>
        </w:tc>
      </w:tr>
      <w:tr w:rsidR="003C6938" w:rsidRPr="00E84D59" w14:paraId="1DE2B38F"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7462CA06" w14:textId="77777777" w:rsidR="003C6938" w:rsidRPr="00E84D59" w:rsidRDefault="003C6938" w:rsidP="003C6938">
            <w:r w:rsidRPr="00E84D59">
              <w:t>1. Whistled at someone while he or she was walking down the street?</w:t>
            </w:r>
          </w:p>
        </w:tc>
        <w:tc>
          <w:tcPr>
            <w:tcW w:w="531" w:type="dxa"/>
            <w:tcBorders>
              <w:top w:val="nil"/>
              <w:left w:val="nil"/>
              <w:bottom w:val="nil"/>
              <w:right w:val="nil"/>
            </w:tcBorders>
            <w:shd w:val="clear" w:color="auto" w:fill="auto"/>
            <w:noWrap/>
            <w:vAlign w:val="bottom"/>
          </w:tcPr>
          <w:p w14:paraId="0CED3641" w14:textId="77777777" w:rsidR="003C6938" w:rsidRPr="00E84D59" w:rsidRDefault="003C6938" w:rsidP="003C6938">
            <w:pPr>
              <w:jc w:val="center"/>
            </w:pPr>
            <w:r w:rsidRPr="00E84D59">
              <w:rPr>
                <w:b/>
              </w:rPr>
              <w:t>.</w:t>
            </w:r>
            <w:r>
              <w:rPr>
                <w:b/>
              </w:rPr>
              <w:t>89</w:t>
            </w:r>
            <w:r w:rsidRPr="00E84D59">
              <w:t xml:space="preserve"> </w:t>
            </w:r>
          </w:p>
        </w:tc>
        <w:tc>
          <w:tcPr>
            <w:tcW w:w="531" w:type="dxa"/>
            <w:tcBorders>
              <w:top w:val="nil"/>
              <w:left w:val="nil"/>
              <w:bottom w:val="nil"/>
              <w:right w:val="nil"/>
            </w:tcBorders>
            <w:shd w:val="clear" w:color="auto" w:fill="auto"/>
            <w:noWrap/>
            <w:vAlign w:val="bottom"/>
          </w:tcPr>
          <w:p w14:paraId="034708A6" w14:textId="77777777" w:rsidR="003C6938" w:rsidRPr="00E84D59" w:rsidRDefault="003C6938" w:rsidP="003C6938">
            <w:pPr>
              <w:jc w:val="center"/>
            </w:pPr>
            <w:r w:rsidRPr="00E84D59">
              <w:t>.02</w:t>
            </w:r>
          </w:p>
        </w:tc>
        <w:tc>
          <w:tcPr>
            <w:tcW w:w="616" w:type="dxa"/>
            <w:tcBorders>
              <w:top w:val="nil"/>
              <w:left w:val="nil"/>
              <w:bottom w:val="nil"/>
              <w:right w:val="nil"/>
            </w:tcBorders>
            <w:shd w:val="clear" w:color="auto" w:fill="auto"/>
            <w:noWrap/>
            <w:vAlign w:val="bottom"/>
          </w:tcPr>
          <w:p w14:paraId="57238226" w14:textId="77777777" w:rsidR="003C6938" w:rsidRPr="00E84D59" w:rsidRDefault="003C6938" w:rsidP="003C6938">
            <w:pPr>
              <w:jc w:val="center"/>
              <w:rPr>
                <w:b/>
              </w:rPr>
            </w:pPr>
            <w:r w:rsidRPr="00E84D59">
              <w:rPr>
                <w:b/>
              </w:rPr>
              <w:t>-</w:t>
            </w:r>
          </w:p>
        </w:tc>
        <w:tc>
          <w:tcPr>
            <w:tcW w:w="536" w:type="dxa"/>
            <w:tcBorders>
              <w:top w:val="nil"/>
              <w:left w:val="nil"/>
              <w:bottom w:val="nil"/>
              <w:right w:val="nil"/>
            </w:tcBorders>
            <w:shd w:val="clear" w:color="auto" w:fill="auto"/>
            <w:noWrap/>
            <w:vAlign w:val="bottom"/>
          </w:tcPr>
          <w:p w14:paraId="0844CE57" w14:textId="77777777" w:rsidR="003C6938" w:rsidRPr="00E84D59" w:rsidRDefault="003C6938" w:rsidP="003C6938">
            <w:pPr>
              <w:jc w:val="center"/>
            </w:pPr>
            <w:r w:rsidRPr="00E84D59">
              <w:t>-</w:t>
            </w:r>
          </w:p>
        </w:tc>
        <w:tc>
          <w:tcPr>
            <w:tcW w:w="236" w:type="dxa"/>
            <w:tcBorders>
              <w:top w:val="nil"/>
              <w:left w:val="nil"/>
              <w:bottom w:val="nil"/>
              <w:right w:val="nil"/>
            </w:tcBorders>
          </w:tcPr>
          <w:p w14:paraId="52ACA49D" w14:textId="77777777" w:rsidR="003C6938" w:rsidRPr="00E84D59" w:rsidRDefault="003C6938" w:rsidP="003C6938">
            <w:pPr>
              <w:jc w:val="center"/>
              <w:rPr>
                <w:b/>
              </w:rPr>
            </w:pPr>
          </w:p>
        </w:tc>
        <w:tc>
          <w:tcPr>
            <w:tcW w:w="531" w:type="dxa"/>
            <w:gridSpan w:val="2"/>
            <w:tcBorders>
              <w:top w:val="nil"/>
              <w:left w:val="nil"/>
              <w:bottom w:val="nil"/>
              <w:right w:val="nil"/>
            </w:tcBorders>
            <w:shd w:val="clear" w:color="auto" w:fill="auto"/>
            <w:noWrap/>
            <w:vAlign w:val="bottom"/>
          </w:tcPr>
          <w:p w14:paraId="4434000A" w14:textId="77777777" w:rsidR="003C6938" w:rsidRPr="00E84D59" w:rsidRDefault="003C6938" w:rsidP="003C6938">
            <w:pPr>
              <w:jc w:val="center"/>
              <w:rPr>
                <w:b/>
              </w:rPr>
            </w:pPr>
            <w:r w:rsidRPr="00E84D59">
              <w:rPr>
                <w:b/>
              </w:rPr>
              <w:t>.92</w:t>
            </w:r>
          </w:p>
        </w:tc>
        <w:tc>
          <w:tcPr>
            <w:tcW w:w="568" w:type="dxa"/>
            <w:tcBorders>
              <w:top w:val="nil"/>
              <w:left w:val="nil"/>
              <w:bottom w:val="nil"/>
              <w:right w:val="nil"/>
            </w:tcBorders>
            <w:shd w:val="clear" w:color="auto" w:fill="auto"/>
            <w:noWrap/>
            <w:vAlign w:val="bottom"/>
          </w:tcPr>
          <w:p w14:paraId="19F253C8" w14:textId="77777777" w:rsidR="003C6938" w:rsidRPr="00E84D59" w:rsidRDefault="003C6938" w:rsidP="003C6938">
            <w:pPr>
              <w:jc w:val="center"/>
            </w:pPr>
            <w:r w:rsidRPr="00E84D59">
              <w:t>.02</w:t>
            </w:r>
          </w:p>
        </w:tc>
        <w:tc>
          <w:tcPr>
            <w:tcW w:w="616" w:type="dxa"/>
            <w:tcBorders>
              <w:left w:val="nil"/>
              <w:right w:val="nil"/>
            </w:tcBorders>
          </w:tcPr>
          <w:p w14:paraId="0084D276" w14:textId="77777777" w:rsidR="003C6938" w:rsidRPr="00E84D59" w:rsidRDefault="003C6938" w:rsidP="003C6938">
            <w:pPr>
              <w:jc w:val="center"/>
              <w:rPr>
                <w:b/>
              </w:rPr>
            </w:pPr>
            <w:r w:rsidRPr="00E84D59">
              <w:rPr>
                <w:b/>
              </w:rPr>
              <w:t>-</w:t>
            </w:r>
          </w:p>
        </w:tc>
        <w:tc>
          <w:tcPr>
            <w:tcW w:w="531" w:type="dxa"/>
            <w:tcBorders>
              <w:left w:val="nil"/>
              <w:right w:val="nil"/>
            </w:tcBorders>
          </w:tcPr>
          <w:p w14:paraId="028AB231" w14:textId="77777777" w:rsidR="003C6938" w:rsidRPr="00E84D59" w:rsidRDefault="003C6938" w:rsidP="003C6938">
            <w:pPr>
              <w:jc w:val="center"/>
            </w:pPr>
            <w:r w:rsidRPr="00E84D59">
              <w:t>-</w:t>
            </w:r>
          </w:p>
        </w:tc>
      </w:tr>
      <w:tr w:rsidR="003C6938" w:rsidRPr="00E84D59" w14:paraId="12009F59"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1D0F24F1" w14:textId="77777777" w:rsidR="003C6938" w:rsidRPr="00E84D59" w:rsidRDefault="003C6938" w:rsidP="003C6938">
            <w:r w:rsidRPr="00E84D59">
              <w:t>2. Stared at someone else's body while talking to him or her?</w:t>
            </w:r>
          </w:p>
        </w:tc>
        <w:tc>
          <w:tcPr>
            <w:tcW w:w="531" w:type="dxa"/>
            <w:tcBorders>
              <w:top w:val="nil"/>
              <w:left w:val="nil"/>
              <w:bottom w:val="nil"/>
              <w:right w:val="nil"/>
            </w:tcBorders>
            <w:shd w:val="clear" w:color="auto" w:fill="auto"/>
            <w:noWrap/>
            <w:vAlign w:val="bottom"/>
          </w:tcPr>
          <w:p w14:paraId="6908EE47" w14:textId="77777777" w:rsidR="003C6938" w:rsidRPr="00E84D59" w:rsidRDefault="003C6938" w:rsidP="003C6938">
            <w:pPr>
              <w:jc w:val="center"/>
              <w:rPr>
                <w:b/>
              </w:rPr>
            </w:pPr>
            <w:r w:rsidRPr="00E84D59">
              <w:rPr>
                <w:b/>
              </w:rPr>
              <w:t>.8</w:t>
            </w:r>
            <w:r>
              <w:rPr>
                <w:b/>
              </w:rPr>
              <w:t>4</w:t>
            </w:r>
          </w:p>
        </w:tc>
        <w:tc>
          <w:tcPr>
            <w:tcW w:w="531" w:type="dxa"/>
            <w:tcBorders>
              <w:top w:val="nil"/>
              <w:left w:val="nil"/>
              <w:bottom w:val="nil"/>
              <w:right w:val="nil"/>
            </w:tcBorders>
            <w:shd w:val="clear" w:color="auto" w:fill="auto"/>
            <w:noWrap/>
            <w:vAlign w:val="bottom"/>
          </w:tcPr>
          <w:p w14:paraId="16AA0F3F" w14:textId="77777777" w:rsidR="003C6938" w:rsidRPr="00E84D59" w:rsidRDefault="003C6938" w:rsidP="003C6938">
            <w:pPr>
              <w:jc w:val="center"/>
            </w:pPr>
            <w:r w:rsidRPr="00E84D59">
              <w:t>.02</w:t>
            </w:r>
          </w:p>
        </w:tc>
        <w:tc>
          <w:tcPr>
            <w:tcW w:w="616" w:type="dxa"/>
            <w:tcBorders>
              <w:top w:val="nil"/>
              <w:left w:val="nil"/>
              <w:bottom w:val="nil"/>
              <w:right w:val="nil"/>
            </w:tcBorders>
            <w:shd w:val="clear" w:color="auto" w:fill="auto"/>
            <w:noWrap/>
            <w:vAlign w:val="bottom"/>
          </w:tcPr>
          <w:p w14:paraId="15179FD5" w14:textId="77777777" w:rsidR="003C6938" w:rsidRPr="00E84D59" w:rsidRDefault="003C6938" w:rsidP="003C6938">
            <w:pPr>
              <w:jc w:val="center"/>
            </w:pPr>
            <w:r w:rsidRPr="00E84D59">
              <w:t>-</w:t>
            </w:r>
          </w:p>
        </w:tc>
        <w:tc>
          <w:tcPr>
            <w:tcW w:w="536" w:type="dxa"/>
            <w:tcBorders>
              <w:top w:val="nil"/>
              <w:left w:val="nil"/>
              <w:bottom w:val="nil"/>
              <w:right w:val="nil"/>
            </w:tcBorders>
            <w:shd w:val="clear" w:color="auto" w:fill="auto"/>
            <w:noWrap/>
            <w:vAlign w:val="bottom"/>
          </w:tcPr>
          <w:p w14:paraId="465B6DD8" w14:textId="77777777" w:rsidR="003C6938" w:rsidRPr="00E84D59" w:rsidRDefault="003C6938" w:rsidP="003C6938">
            <w:pPr>
              <w:jc w:val="center"/>
            </w:pPr>
            <w:r w:rsidRPr="00E84D59">
              <w:t>-</w:t>
            </w:r>
          </w:p>
        </w:tc>
        <w:tc>
          <w:tcPr>
            <w:tcW w:w="236" w:type="dxa"/>
            <w:tcBorders>
              <w:top w:val="nil"/>
              <w:left w:val="nil"/>
              <w:bottom w:val="nil"/>
              <w:right w:val="nil"/>
            </w:tcBorders>
          </w:tcPr>
          <w:p w14:paraId="3C91CB8A" w14:textId="77777777" w:rsidR="003C6938" w:rsidRPr="00E84D59" w:rsidRDefault="003C6938" w:rsidP="003C6938">
            <w:pPr>
              <w:jc w:val="center"/>
              <w:rPr>
                <w:b/>
              </w:rPr>
            </w:pPr>
          </w:p>
        </w:tc>
        <w:tc>
          <w:tcPr>
            <w:tcW w:w="531" w:type="dxa"/>
            <w:gridSpan w:val="2"/>
            <w:tcBorders>
              <w:top w:val="nil"/>
              <w:left w:val="nil"/>
              <w:bottom w:val="nil"/>
              <w:right w:val="nil"/>
            </w:tcBorders>
            <w:shd w:val="clear" w:color="auto" w:fill="auto"/>
            <w:noWrap/>
            <w:vAlign w:val="bottom"/>
          </w:tcPr>
          <w:p w14:paraId="403A3F54" w14:textId="77777777" w:rsidR="003C6938" w:rsidRPr="00E84D59" w:rsidRDefault="003C6938" w:rsidP="003C6938">
            <w:pPr>
              <w:jc w:val="center"/>
              <w:rPr>
                <w:b/>
              </w:rPr>
            </w:pPr>
            <w:r w:rsidRPr="00E84D59">
              <w:rPr>
                <w:b/>
              </w:rPr>
              <w:t>.78</w:t>
            </w:r>
          </w:p>
        </w:tc>
        <w:tc>
          <w:tcPr>
            <w:tcW w:w="568" w:type="dxa"/>
            <w:tcBorders>
              <w:top w:val="nil"/>
              <w:left w:val="nil"/>
              <w:bottom w:val="nil"/>
              <w:right w:val="nil"/>
            </w:tcBorders>
            <w:shd w:val="clear" w:color="auto" w:fill="auto"/>
            <w:noWrap/>
            <w:vAlign w:val="bottom"/>
          </w:tcPr>
          <w:p w14:paraId="159C5D53" w14:textId="77777777" w:rsidR="003C6938" w:rsidRPr="00E84D59" w:rsidRDefault="003C6938" w:rsidP="003C6938">
            <w:pPr>
              <w:jc w:val="center"/>
            </w:pPr>
            <w:r w:rsidRPr="00E84D59">
              <w:t>.0</w:t>
            </w:r>
            <w:r>
              <w:t>2</w:t>
            </w:r>
          </w:p>
        </w:tc>
        <w:tc>
          <w:tcPr>
            <w:tcW w:w="616" w:type="dxa"/>
            <w:tcBorders>
              <w:left w:val="nil"/>
              <w:right w:val="nil"/>
            </w:tcBorders>
          </w:tcPr>
          <w:p w14:paraId="2AB4EA88" w14:textId="77777777" w:rsidR="003C6938" w:rsidRPr="00E84D59" w:rsidRDefault="003C6938" w:rsidP="003C6938">
            <w:pPr>
              <w:jc w:val="center"/>
            </w:pPr>
            <w:r w:rsidRPr="00E84D59">
              <w:t>-</w:t>
            </w:r>
          </w:p>
        </w:tc>
        <w:tc>
          <w:tcPr>
            <w:tcW w:w="531" w:type="dxa"/>
            <w:tcBorders>
              <w:left w:val="nil"/>
              <w:right w:val="nil"/>
            </w:tcBorders>
          </w:tcPr>
          <w:p w14:paraId="799631C7" w14:textId="77777777" w:rsidR="003C6938" w:rsidRPr="00E84D59" w:rsidRDefault="003C6938" w:rsidP="003C6938">
            <w:pPr>
              <w:jc w:val="center"/>
            </w:pPr>
            <w:r w:rsidRPr="00E84D59">
              <w:t>-</w:t>
            </w:r>
          </w:p>
        </w:tc>
      </w:tr>
      <w:tr w:rsidR="003C6938" w:rsidRPr="00E84D59" w14:paraId="7F601488"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3CEDDD25" w14:textId="77777777" w:rsidR="003C6938" w:rsidRPr="00E84D59" w:rsidRDefault="003C6938" w:rsidP="003C6938">
            <w:r w:rsidRPr="00E84D59">
              <w:t>3. Overtly evaluated someone else's physical appearance?</w:t>
            </w:r>
          </w:p>
        </w:tc>
        <w:tc>
          <w:tcPr>
            <w:tcW w:w="531" w:type="dxa"/>
            <w:tcBorders>
              <w:top w:val="nil"/>
              <w:left w:val="nil"/>
              <w:bottom w:val="nil"/>
              <w:right w:val="nil"/>
            </w:tcBorders>
            <w:shd w:val="clear" w:color="auto" w:fill="auto"/>
            <w:noWrap/>
            <w:vAlign w:val="bottom"/>
          </w:tcPr>
          <w:p w14:paraId="0C4996AE" w14:textId="77777777" w:rsidR="003C6938" w:rsidRPr="00E84D59" w:rsidRDefault="003C6938" w:rsidP="003C6938">
            <w:pPr>
              <w:jc w:val="center"/>
              <w:rPr>
                <w:b/>
              </w:rPr>
            </w:pPr>
            <w:r w:rsidRPr="00E84D59">
              <w:rPr>
                <w:b/>
              </w:rPr>
              <w:t>.7</w:t>
            </w:r>
            <w:r>
              <w:rPr>
                <w:b/>
              </w:rPr>
              <w:t>8</w:t>
            </w:r>
          </w:p>
        </w:tc>
        <w:tc>
          <w:tcPr>
            <w:tcW w:w="531" w:type="dxa"/>
            <w:tcBorders>
              <w:top w:val="nil"/>
              <w:left w:val="nil"/>
              <w:bottom w:val="nil"/>
              <w:right w:val="nil"/>
            </w:tcBorders>
            <w:shd w:val="clear" w:color="auto" w:fill="auto"/>
            <w:noWrap/>
            <w:vAlign w:val="bottom"/>
          </w:tcPr>
          <w:p w14:paraId="7E265A90" w14:textId="77777777" w:rsidR="003C6938" w:rsidRPr="00E84D59" w:rsidRDefault="003C6938" w:rsidP="003C6938">
            <w:pPr>
              <w:jc w:val="center"/>
            </w:pPr>
            <w:r w:rsidRPr="00E84D59">
              <w:t>.02</w:t>
            </w:r>
          </w:p>
        </w:tc>
        <w:tc>
          <w:tcPr>
            <w:tcW w:w="616" w:type="dxa"/>
            <w:tcBorders>
              <w:top w:val="nil"/>
              <w:left w:val="nil"/>
              <w:bottom w:val="nil"/>
              <w:right w:val="nil"/>
            </w:tcBorders>
            <w:shd w:val="clear" w:color="auto" w:fill="auto"/>
            <w:noWrap/>
            <w:vAlign w:val="bottom"/>
          </w:tcPr>
          <w:p w14:paraId="206D3FD9" w14:textId="77777777" w:rsidR="003C6938" w:rsidRPr="00E84D59" w:rsidRDefault="003C6938" w:rsidP="003C6938">
            <w:pPr>
              <w:jc w:val="center"/>
              <w:rPr>
                <w:b/>
              </w:rPr>
            </w:pPr>
            <w:r w:rsidRPr="00E84D59">
              <w:rPr>
                <w:b/>
              </w:rPr>
              <w:t>-</w:t>
            </w:r>
          </w:p>
        </w:tc>
        <w:tc>
          <w:tcPr>
            <w:tcW w:w="536" w:type="dxa"/>
            <w:tcBorders>
              <w:top w:val="nil"/>
              <w:left w:val="nil"/>
              <w:bottom w:val="nil"/>
              <w:right w:val="nil"/>
            </w:tcBorders>
            <w:shd w:val="clear" w:color="auto" w:fill="auto"/>
            <w:noWrap/>
            <w:vAlign w:val="bottom"/>
          </w:tcPr>
          <w:p w14:paraId="1A37334A" w14:textId="77777777" w:rsidR="003C6938" w:rsidRPr="00E84D59" w:rsidRDefault="003C6938" w:rsidP="003C6938">
            <w:pPr>
              <w:jc w:val="center"/>
            </w:pPr>
            <w:r w:rsidRPr="00E84D59">
              <w:t>-</w:t>
            </w:r>
          </w:p>
        </w:tc>
        <w:tc>
          <w:tcPr>
            <w:tcW w:w="236" w:type="dxa"/>
            <w:tcBorders>
              <w:top w:val="nil"/>
              <w:left w:val="nil"/>
              <w:bottom w:val="nil"/>
              <w:right w:val="nil"/>
            </w:tcBorders>
          </w:tcPr>
          <w:p w14:paraId="52B74DFC" w14:textId="77777777" w:rsidR="003C6938" w:rsidRPr="00E84D59" w:rsidRDefault="003C6938" w:rsidP="003C6938">
            <w:pPr>
              <w:jc w:val="center"/>
              <w:rPr>
                <w:b/>
              </w:rPr>
            </w:pPr>
          </w:p>
        </w:tc>
        <w:tc>
          <w:tcPr>
            <w:tcW w:w="531" w:type="dxa"/>
            <w:gridSpan w:val="2"/>
            <w:tcBorders>
              <w:top w:val="nil"/>
              <w:left w:val="nil"/>
              <w:bottom w:val="nil"/>
              <w:right w:val="nil"/>
            </w:tcBorders>
            <w:shd w:val="clear" w:color="auto" w:fill="auto"/>
            <w:noWrap/>
            <w:vAlign w:val="bottom"/>
          </w:tcPr>
          <w:p w14:paraId="5D37ADE9" w14:textId="77777777" w:rsidR="003C6938" w:rsidRPr="00E84D59" w:rsidRDefault="003C6938" w:rsidP="003C6938">
            <w:pPr>
              <w:jc w:val="center"/>
              <w:rPr>
                <w:b/>
              </w:rPr>
            </w:pPr>
            <w:r w:rsidRPr="00E84D59">
              <w:rPr>
                <w:b/>
              </w:rPr>
              <w:t>.57</w:t>
            </w:r>
          </w:p>
        </w:tc>
        <w:tc>
          <w:tcPr>
            <w:tcW w:w="568" w:type="dxa"/>
            <w:tcBorders>
              <w:top w:val="nil"/>
              <w:left w:val="nil"/>
              <w:bottom w:val="nil"/>
              <w:right w:val="nil"/>
            </w:tcBorders>
            <w:shd w:val="clear" w:color="auto" w:fill="auto"/>
            <w:noWrap/>
            <w:vAlign w:val="bottom"/>
          </w:tcPr>
          <w:p w14:paraId="3C17BD07" w14:textId="77777777" w:rsidR="003C6938" w:rsidRPr="00E84D59" w:rsidRDefault="003C6938" w:rsidP="003C6938">
            <w:pPr>
              <w:jc w:val="center"/>
            </w:pPr>
            <w:r w:rsidRPr="00E84D59">
              <w:t>.04</w:t>
            </w:r>
          </w:p>
        </w:tc>
        <w:tc>
          <w:tcPr>
            <w:tcW w:w="616" w:type="dxa"/>
            <w:tcBorders>
              <w:left w:val="nil"/>
              <w:right w:val="nil"/>
            </w:tcBorders>
          </w:tcPr>
          <w:p w14:paraId="75BB9945" w14:textId="77777777" w:rsidR="003C6938" w:rsidRPr="00E84D59" w:rsidRDefault="003C6938" w:rsidP="003C6938">
            <w:pPr>
              <w:jc w:val="center"/>
              <w:rPr>
                <w:b/>
              </w:rPr>
            </w:pPr>
            <w:r w:rsidRPr="00E84D59">
              <w:rPr>
                <w:b/>
              </w:rPr>
              <w:t>-</w:t>
            </w:r>
          </w:p>
        </w:tc>
        <w:tc>
          <w:tcPr>
            <w:tcW w:w="531" w:type="dxa"/>
            <w:tcBorders>
              <w:left w:val="nil"/>
              <w:right w:val="nil"/>
            </w:tcBorders>
          </w:tcPr>
          <w:p w14:paraId="38F3E334" w14:textId="77777777" w:rsidR="003C6938" w:rsidRPr="00E84D59" w:rsidRDefault="003C6938" w:rsidP="003C6938">
            <w:pPr>
              <w:jc w:val="center"/>
            </w:pPr>
            <w:r w:rsidRPr="00E84D59">
              <w:t>-</w:t>
            </w:r>
          </w:p>
        </w:tc>
      </w:tr>
      <w:tr w:rsidR="003C6938" w:rsidRPr="00E84D59" w14:paraId="475920DF" w14:textId="77777777" w:rsidTr="003C6938">
        <w:trPr>
          <w:gridAfter w:val="1"/>
          <w:wAfter w:w="10" w:type="dxa"/>
          <w:trHeight w:val="304"/>
        </w:trPr>
        <w:tc>
          <w:tcPr>
            <w:tcW w:w="9041" w:type="dxa"/>
            <w:tcBorders>
              <w:top w:val="nil"/>
              <w:left w:val="nil"/>
              <w:bottom w:val="nil"/>
              <w:right w:val="nil"/>
            </w:tcBorders>
            <w:shd w:val="clear" w:color="auto" w:fill="auto"/>
            <w:noWrap/>
          </w:tcPr>
          <w:p w14:paraId="2400B306" w14:textId="77777777" w:rsidR="003C6938" w:rsidRPr="00E84D59" w:rsidRDefault="003C6938" w:rsidP="003C6938">
            <w:r w:rsidRPr="00E84D59">
              <w:t>4. Stared at others' bodies?</w:t>
            </w:r>
          </w:p>
        </w:tc>
        <w:tc>
          <w:tcPr>
            <w:tcW w:w="531" w:type="dxa"/>
            <w:tcBorders>
              <w:top w:val="nil"/>
              <w:left w:val="nil"/>
              <w:bottom w:val="nil"/>
              <w:right w:val="nil"/>
            </w:tcBorders>
            <w:shd w:val="clear" w:color="auto" w:fill="auto"/>
            <w:noWrap/>
            <w:vAlign w:val="bottom"/>
          </w:tcPr>
          <w:p w14:paraId="49E0AC58" w14:textId="77777777" w:rsidR="003C6938" w:rsidRPr="00E84D59" w:rsidRDefault="003C6938" w:rsidP="003C6938">
            <w:pPr>
              <w:jc w:val="center"/>
              <w:rPr>
                <w:b/>
              </w:rPr>
            </w:pPr>
            <w:r w:rsidRPr="00E84D59">
              <w:rPr>
                <w:b/>
              </w:rPr>
              <w:t>.8</w:t>
            </w:r>
            <w:r>
              <w:rPr>
                <w:b/>
              </w:rPr>
              <w:t>1</w:t>
            </w:r>
          </w:p>
        </w:tc>
        <w:tc>
          <w:tcPr>
            <w:tcW w:w="531" w:type="dxa"/>
            <w:tcBorders>
              <w:top w:val="nil"/>
              <w:left w:val="nil"/>
              <w:bottom w:val="nil"/>
              <w:right w:val="nil"/>
            </w:tcBorders>
            <w:shd w:val="clear" w:color="auto" w:fill="auto"/>
            <w:noWrap/>
            <w:vAlign w:val="bottom"/>
          </w:tcPr>
          <w:p w14:paraId="4B408A87" w14:textId="77777777" w:rsidR="003C6938" w:rsidRPr="00E84D59" w:rsidRDefault="003C6938" w:rsidP="003C6938">
            <w:pPr>
              <w:jc w:val="center"/>
            </w:pPr>
            <w:r w:rsidRPr="00E84D59">
              <w:t>.02</w:t>
            </w:r>
          </w:p>
        </w:tc>
        <w:tc>
          <w:tcPr>
            <w:tcW w:w="616" w:type="dxa"/>
            <w:tcBorders>
              <w:top w:val="nil"/>
              <w:left w:val="nil"/>
              <w:bottom w:val="nil"/>
              <w:right w:val="nil"/>
            </w:tcBorders>
            <w:shd w:val="clear" w:color="auto" w:fill="auto"/>
            <w:noWrap/>
            <w:vAlign w:val="bottom"/>
          </w:tcPr>
          <w:p w14:paraId="060F3FBA" w14:textId="77777777" w:rsidR="003C6938" w:rsidRPr="00E84D59" w:rsidRDefault="003C6938" w:rsidP="003C6938">
            <w:pPr>
              <w:jc w:val="center"/>
              <w:rPr>
                <w:b/>
              </w:rPr>
            </w:pPr>
            <w:r w:rsidRPr="00E84D59">
              <w:rPr>
                <w:b/>
              </w:rPr>
              <w:t>-</w:t>
            </w:r>
          </w:p>
        </w:tc>
        <w:tc>
          <w:tcPr>
            <w:tcW w:w="536" w:type="dxa"/>
            <w:tcBorders>
              <w:top w:val="nil"/>
              <w:left w:val="nil"/>
              <w:bottom w:val="nil"/>
              <w:right w:val="nil"/>
            </w:tcBorders>
            <w:shd w:val="clear" w:color="auto" w:fill="auto"/>
            <w:noWrap/>
            <w:vAlign w:val="bottom"/>
          </w:tcPr>
          <w:p w14:paraId="120C7E84" w14:textId="77777777" w:rsidR="003C6938" w:rsidRPr="00E84D59" w:rsidRDefault="003C6938" w:rsidP="003C6938">
            <w:pPr>
              <w:jc w:val="center"/>
            </w:pPr>
            <w:r w:rsidRPr="00E84D59">
              <w:t>-</w:t>
            </w:r>
          </w:p>
        </w:tc>
        <w:tc>
          <w:tcPr>
            <w:tcW w:w="236" w:type="dxa"/>
            <w:tcBorders>
              <w:top w:val="nil"/>
              <w:left w:val="nil"/>
              <w:bottom w:val="nil"/>
              <w:right w:val="nil"/>
            </w:tcBorders>
          </w:tcPr>
          <w:p w14:paraId="045E4D6C" w14:textId="77777777" w:rsidR="003C6938" w:rsidRPr="00E84D59" w:rsidRDefault="003C6938" w:rsidP="003C6938">
            <w:pPr>
              <w:jc w:val="center"/>
              <w:rPr>
                <w:b/>
              </w:rPr>
            </w:pPr>
          </w:p>
        </w:tc>
        <w:tc>
          <w:tcPr>
            <w:tcW w:w="531" w:type="dxa"/>
            <w:gridSpan w:val="2"/>
            <w:tcBorders>
              <w:top w:val="nil"/>
              <w:left w:val="nil"/>
              <w:bottom w:val="nil"/>
              <w:right w:val="nil"/>
            </w:tcBorders>
            <w:shd w:val="clear" w:color="auto" w:fill="auto"/>
            <w:noWrap/>
            <w:vAlign w:val="bottom"/>
          </w:tcPr>
          <w:p w14:paraId="30CCD5F1" w14:textId="77777777" w:rsidR="003C6938" w:rsidRPr="00E84D59" w:rsidRDefault="003C6938" w:rsidP="003C6938">
            <w:pPr>
              <w:jc w:val="center"/>
              <w:rPr>
                <w:b/>
              </w:rPr>
            </w:pPr>
            <w:r w:rsidRPr="00E84D59">
              <w:rPr>
                <w:b/>
              </w:rPr>
              <w:t>.7</w:t>
            </w:r>
            <w:r>
              <w:rPr>
                <w:b/>
              </w:rPr>
              <w:t>8</w:t>
            </w:r>
          </w:p>
        </w:tc>
        <w:tc>
          <w:tcPr>
            <w:tcW w:w="568" w:type="dxa"/>
            <w:tcBorders>
              <w:top w:val="nil"/>
              <w:left w:val="nil"/>
              <w:bottom w:val="nil"/>
              <w:right w:val="nil"/>
            </w:tcBorders>
            <w:shd w:val="clear" w:color="auto" w:fill="auto"/>
            <w:noWrap/>
            <w:vAlign w:val="bottom"/>
          </w:tcPr>
          <w:p w14:paraId="3D3850BF" w14:textId="77777777" w:rsidR="003C6938" w:rsidRPr="00E84D59" w:rsidRDefault="003C6938" w:rsidP="003C6938">
            <w:pPr>
              <w:jc w:val="center"/>
            </w:pPr>
            <w:r w:rsidRPr="00E84D59">
              <w:t>.03</w:t>
            </w:r>
          </w:p>
        </w:tc>
        <w:tc>
          <w:tcPr>
            <w:tcW w:w="616" w:type="dxa"/>
            <w:tcBorders>
              <w:left w:val="nil"/>
              <w:right w:val="nil"/>
            </w:tcBorders>
          </w:tcPr>
          <w:p w14:paraId="347E9331" w14:textId="77777777" w:rsidR="003C6938" w:rsidRPr="00E84D59" w:rsidRDefault="003C6938" w:rsidP="003C6938">
            <w:pPr>
              <w:jc w:val="center"/>
              <w:rPr>
                <w:b/>
              </w:rPr>
            </w:pPr>
            <w:r w:rsidRPr="00E84D59">
              <w:rPr>
                <w:b/>
              </w:rPr>
              <w:t>-</w:t>
            </w:r>
          </w:p>
        </w:tc>
        <w:tc>
          <w:tcPr>
            <w:tcW w:w="531" w:type="dxa"/>
            <w:tcBorders>
              <w:left w:val="nil"/>
              <w:right w:val="nil"/>
            </w:tcBorders>
          </w:tcPr>
          <w:p w14:paraId="76E1968A" w14:textId="77777777" w:rsidR="003C6938" w:rsidRPr="00E84D59" w:rsidRDefault="003C6938" w:rsidP="003C6938">
            <w:pPr>
              <w:jc w:val="center"/>
            </w:pPr>
            <w:r w:rsidRPr="00E84D59">
              <w:t>-</w:t>
            </w:r>
          </w:p>
        </w:tc>
      </w:tr>
      <w:tr w:rsidR="003C6938" w:rsidRPr="00E84D59" w14:paraId="40AA1640" w14:textId="77777777" w:rsidTr="003C6938">
        <w:trPr>
          <w:gridAfter w:val="1"/>
          <w:wAfter w:w="10" w:type="dxa"/>
          <w:trHeight w:val="304"/>
        </w:trPr>
        <w:tc>
          <w:tcPr>
            <w:tcW w:w="9041" w:type="dxa"/>
            <w:tcBorders>
              <w:top w:val="nil"/>
              <w:left w:val="nil"/>
              <w:bottom w:val="nil"/>
              <w:right w:val="nil"/>
            </w:tcBorders>
            <w:shd w:val="clear" w:color="auto" w:fill="auto"/>
            <w:noWrap/>
          </w:tcPr>
          <w:p w14:paraId="414EE4DA" w14:textId="77777777" w:rsidR="003C6938" w:rsidRPr="00E84D59" w:rsidRDefault="003C6938" w:rsidP="003C6938">
            <w:r w:rsidRPr="00E84D59">
              <w:t>5. Leered at others' bodies?</w:t>
            </w:r>
          </w:p>
        </w:tc>
        <w:tc>
          <w:tcPr>
            <w:tcW w:w="531" w:type="dxa"/>
            <w:tcBorders>
              <w:top w:val="nil"/>
              <w:left w:val="nil"/>
              <w:bottom w:val="nil"/>
              <w:right w:val="nil"/>
            </w:tcBorders>
            <w:shd w:val="clear" w:color="auto" w:fill="auto"/>
            <w:noWrap/>
            <w:vAlign w:val="bottom"/>
          </w:tcPr>
          <w:p w14:paraId="0AAE50DF" w14:textId="77777777" w:rsidR="003C6938" w:rsidRPr="00E84D59" w:rsidRDefault="003C6938" w:rsidP="003C6938">
            <w:pPr>
              <w:jc w:val="center"/>
              <w:rPr>
                <w:b/>
              </w:rPr>
            </w:pPr>
            <w:r w:rsidRPr="00E84D59">
              <w:rPr>
                <w:b/>
              </w:rPr>
              <w:t>.85</w:t>
            </w:r>
          </w:p>
        </w:tc>
        <w:tc>
          <w:tcPr>
            <w:tcW w:w="531" w:type="dxa"/>
            <w:tcBorders>
              <w:top w:val="nil"/>
              <w:left w:val="nil"/>
              <w:bottom w:val="nil"/>
              <w:right w:val="nil"/>
            </w:tcBorders>
            <w:shd w:val="clear" w:color="auto" w:fill="auto"/>
            <w:noWrap/>
            <w:vAlign w:val="bottom"/>
          </w:tcPr>
          <w:p w14:paraId="5C612E09" w14:textId="77777777" w:rsidR="003C6938" w:rsidRPr="00E84D59" w:rsidRDefault="003C6938" w:rsidP="003C6938">
            <w:pPr>
              <w:jc w:val="center"/>
            </w:pPr>
            <w:r w:rsidRPr="00E84D59">
              <w:t>.02</w:t>
            </w:r>
          </w:p>
        </w:tc>
        <w:tc>
          <w:tcPr>
            <w:tcW w:w="616" w:type="dxa"/>
            <w:tcBorders>
              <w:top w:val="nil"/>
              <w:left w:val="nil"/>
              <w:bottom w:val="nil"/>
              <w:right w:val="nil"/>
            </w:tcBorders>
            <w:shd w:val="clear" w:color="auto" w:fill="auto"/>
            <w:noWrap/>
            <w:vAlign w:val="bottom"/>
          </w:tcPr>
          <w:p w14:paraId="173003DC" w14:textId="77777777" w:rsidR="003C6938" w:rsidRPr="00E84D59" w:rsidRDefault="003C6938" w:rsidP="003C6938">
            <w:pPr>
              <w:jc w:val="center"/>
              <w:rPr>
                <w:b/>
              </w:rPr>
            </w:pPr>
            <w:r w:rsidRPr="00E84D59">
              <w:rPr>
                <w:b/>
              </w:rPr>
              <w:t>-</w:t>
            </w:r>
          </w:p>
        </w:tc>
        <w:tc>
          <w:tcPr>
            <w:tcW w:w="536" w:type="dxa"/>
            <w:tcBorders>
              <w:top w:val="nil"/>
              <w:left w:val="nil"/>
              <w:bottom w:val="nil"/>
              <w:right w:val="nil"/>
            </w:tcBorders>
            <w:shd w:val="clear" w:color="auto" w:fill="auto"/>
            <w:noWrap/>
            <w:vAlign w:val="bottom"/>
          </w:tcPr>
          <w:p w14:paraId="2810DAAD" w14:textId="77777777" w:rsidR="003C6938" w:rsidRPr="00E84D59" w:rsidRDefault="003C6938" w:rsidP="003C6938">
            <w:pPr>
              <w:jc w:val="center"/>
            </w:pPr>
            <w:r w:rsidRPr="00E84D59">
              <w:t>-</w:t>
            </w:r>
          </w:p>
        </w:tc>
        <w:tc>
          <w:tcPr>
            <w:tcW w:w="236" w:type="dxa"/>
            <w:tcBorders>
              <w:top w:val="nil"/>
              <w:left w:val="nil"/>
              <w:bottom w:val="nil"/>
              <w:right w:val="nil"/>
            </w:tcBorders>
          </w:tcPr>
          <w:p w14:paraId="29A1EAD4" w14:textId="77777777" w:rsidR="003C6938" w:rsidRPr="00E84D59" w:rsidRDefault="003C6938" w:rsidP="003C6938">
            <w:pPr>
              <w:jc w:val="center"/>
              <w:rPr>
                <w:b/>
              </w:rPr>
            </w:pPr>
          </w:p>
        </w:tc>
        <w:tc>
          <w:tcPr>
            <w:tcW w:w="531" w:type="dxa"/>
            <w:gridSpan w:val="2"/>
            <w:tcBorders>
              <w:top w:val="nil"/>
              <w:left w:val="nil"/>
              <w:bottom w:val="nil"/>
              <w:right w:val="nil"/>
            </w:tcBorders>
            <w:shd w:val="clear" w:color="auto" w:fill="auto"/>
            <w:noWrap/>
            <w:vAlign w:val="bottom"/>
          </w:tcPr>
          <w:p w14:paraId="43BA8189" w14:textId="77777777" w:rsidR="003C6938" w:rsidRPr="00E84D59" w:rsidRDefault="003C6938" w:rsidP="003C6938">
            <w:pPr>
              <w:jc w:val="center"/>
              <w:rPr>
                <w:b/>
              </w:rPr>
            </w:pPr>
            <w:r w:rsidRPr="00E84D59">
              <w:rPr>
                <w:b/>
              </w:rPr>
              <w:t>.78</w:t>
            </w:r>
          </w:p>
        </w:tc>
        <w:tc>
          <w:tcPr>
            <w:tcW w:w="568" w:type="dxa"/>
            <w:tcBorders>
              <w:top w:val="nil"/>
              <w:left w:val="nil"/>
              <w:bottom w:val="nil"/>
              <w:right w:val="nil"/>
            </w:tcBorders>
            <w:shd w:val="clear" w:color="auto" w:fill="auto"/>
            <w:noWrap/>
            <w:vAlign w:val="bottom"/>
          </w:tcPr>
          <w:p w14:paraId="65083949" w14:textId="77777777" w:rsidR="003C6938" w:rsidRPr="00E84D59" w:rsidRDefault="003C6938" w:rsidP="003C6938">
            <w:pPr>
              <w:jc w:val="center"/>
            </w:pPr>
            <w:r w:rsidRPr="00E84D59">
              <w:t>.03</w:t>
            </w:r>
          </w:p>
        </w:tc>
        <w:tc>
          <w:tcPr>
            <w:tcW w:w="616" w:type="dxa"/>
            <w:tcBorders>
              <w:left w:val="nil"/>
              <w:right w:val="nil"/>
            </w:tcBorders>
          </w:tcPr>
          <w:p w14:paraId="078AA188" w14:textId="77777777" w:rsidR="003C6938" w:rsidRPr="00E84D59" w:rsidRDefault="003C6938" w:rsidP="003C6938">
            <w:pPr>
              <w:jc w:val="center"/>
            </w:pPr>
            <w:r w:rsidRPr="00E84D59">
              <w:t>-</w:t>
            </w:r>
          </w:p>
        </w:tc>
        <w:tc>
          <w:tcPr>
            <w:tcW w:w="531" w:type="dxa"/>
            <w:tcBorders>
              <w:left w:val="nil"/>
              <w:right w:val="nil"/>
            </w:tcBorders>
          </w:tcPr>
          <w:p w14:paraId="6C63831E" w14:textId="77777777" w:rsidR="003C6938" w:rsidRPr="00E84D59" w:rsidRDefault="003C6938" w:rsidP="003C6938">
            <w:pPr>
              <w:jc w:val="center"/>
            </w:pPr>
            <w:r w:rsidRPr="00E84D59">
              <w:t>-</w:t>
            </w:r>
          </w:p>
        </w:tc>
      </w:tr>
      <w:tr w:rsidR="003C6938" w:rsidRPr="00E84D59" w14:paraId="4DE4827A" w14:textId="77777777" w:rsidTr="003C6938">
        <w:trPr>
          <w:gridAfter w:val="1"/>
          <w:wAfter w:w="10" w:type="dxa"/>
          <w:trHeight w:val="304"/>
        </w:trPr>
        <w:tc>
          <w:tcPr>
            <w:tcW w:w="9041" w:type="dxa"/>
            <w:tcBorders>
              <w:top w:val="nil"/>
              <w:left w:val="nil"/>
              <w:bottom w:val="nil"/>
              <w:right w:val="nil"/>
            </w:tcBorders>
            <w:shd w:val="clear" w:color="auto" w:fill="auto"/>
            <w:noWrap/>
          </w:tcPr>
          <w:p w14:paraId="582474EF" w14:textId="77777777" w:rsidR="003C6938" w:rsidRPr="00E84D59" w:rsidRDefault="003C6938" w:rsidP="003C6938">
            <w:r w:rsidRPr="00E84D59">
              <w:t>6. Made a rude sexual remark about someone's body?</w:t>
            </w:r>
          </w:p>
        </w:tc>
        <w:tc>
          <w:tcPr>
            <w:tcW w:w="531" w:type="dxa"/>
            <w:tcBorders>
              <w:top w:val="nil"/>
              <w:left w:val="nil"/>
              <w:bottom w:val="nil"/>
              <w:right w:val="nil"/>
            </w:tcBorders>
            <w:shd w:val="clear" w:color="auto" w:fill="auto"/>
            <w:noWrap/>
            <w:vAlign w:val="bottom"/>
          </w:tcPr>
          <w:p w14:paraId="09A6CCF2" w14:textId="77777777" w:rsidR="003C6938" w:rsidRPr="00E84D59" w:rsidRDefault="003C6938" w:rsidP="003C6938">
            <w:pPr>
              <w:jc w:val="center"/>
              <w:rPr>
                <w:b/>
              </w:rPr>
            </w:pPr>
            <w:r w:rsidRPr="00E84D59">
              <w:rPr>
                <w:b/>
              </w:rPr>
              <w:t>.92</w:t>
            </w:r>
          </w:p>
        </w:tc>
        <w:tc>
          <w:tcPr>
            <w:tcW w:w="531" w:type="dxa"/>
            <w:tcBorders>
              <w:top w:val="nil"/>
              <w:left w:val="nil"/>
              <w:bottom w:val="nil"/>
              <w:right w:val="nil"/>
            </w:tcBorders>
            <w:shd w:val="clear" w:color="auto" w:fill="auto"/>
            <w:noWrap/>
            <w:vAlign w:val="bottom"/>
          </w:tcPr>
          <w:p w14:paraId="5F110467" w14:textId="77777777" w:rsidR="003C6938" w:rsidRPr="00E84D59" w:rsidRDefault="003C6938" w:rsidP="003C6938">
            <w:pPr>
              <w:jc w:val="center"/>
            </w:pPr>
            <w:r w:rsidRPr="00E84D59">
              <w:t>.01</w:t>
            </w:r>
          </w:p>
        </w:tc>
        <w:tc>
          <w:tcPr>
            <w:tcW w:w="616" w:type="dxa"/>
            <w:tcBorders>
              <w:top w:val="nil"/>
              <w:left w:val="nil"/>
              <w:bottom w:val="nil"/>
              <w:right w:val="nil"/>
            </w:tcBorders>
            <w:shd w:val="clear" w:color="auto" w:fill="auto"/>
            <w:noWrap/>
            <w:vAlign w:val="bottom"/>
          </w:tcPr>
          <w:p w14:paraId="2AE2CEDE" w14:textId="77777777" w:rsidR="003C6938" w:rsidRPr="00E84D59" w:rsidRDefault="003C6938" w:rsidP="003C6938">
            <w:pPr>
              <w:jc w:val="center"/>
              <w:rPr>
                <w:b/>
              </w:rPr>
            </w:pPr>
            <w:r w:rsidRPr="00E84D59">
              <w:rPr>
                <w:b/>
              </w:rPr>
              <w:t>-</w:t>
            </w:r>
          </w:p>
        </w:tc>
        <w:tc>
          <w:tcPr>
            <w:tcW w:w="536" w:type="dxa"/>
            <w:tcBorders>
              <w:top w:val="nil"/>
              <w:left w:val="nil"/>
              <w:bottom w:val="nil"/>
              <w:right w:val="nil"/>
            </w:tcBorders>
            <w:shd w:val="clear" w:color="auto" w:fill="auto"/>
            <w:noWrap/>
            <w:vAlign w:val="bottom"/>
          </w:tcPr>
          <w:p w14:paraId="5A26E041" w14:textId="77777777" w:rsidR="003C6938" w:rsidRPr="00E84D59" w:rsidRDefault="003C6938" w:rsidP="003C6938">
            <w:pPr>
              <w:jc w:val="center"/>
            </w:pPr>
            <w:r w:rsidRPr="00E84D59">
              <w:t>-</w:t>
            </w:r>
          </w:p>
        </w:tc>
        <w:tc>
          <w:tcPr>
            <w:tcW w:w="236" w:type="dxa"/>
            <w:tcBorders>
              <w:top w:val="nil"/>
              <w:left w:val="nil"/>
              <w:bottom w:val="nil"/>
              <w:right w:val="nil"/>
            </w:tcBorders>
          </w:tcPr>
          <w:p w14:paraId="20761401" w14:textId="77777777" w:rsidR="003C6938" w:rsidRPr="00E84D59" w:rsidRDefault="003C6938" w:rsidP="003C6938">
            <w:pPr>
              <w:jc w:val="center"/>
              <w:rPr>
                <w:b/>
              </w:rPr>
            </w:pPr>
          </w:p>
        </w:tc>
        <w:tc>
          <w:tcPr>
            <w:tcW w:w="531" w:type="dxa"/>
            <w:gridSpan w:val="2"/>
            <w:tcBorders>
              <w:top w:val="nil"/>
              <w:left w:val="nil"/>
              <w:bottom w:val="nil"/>
              <w:right w:val="nil"/>
            </w:tcBorders>
            <w:shd w:val="clear" w:color="auto" w:fill="auto"/>
            <w:noWrap/>
            <w:vAlign w:val="bottom"/>
          </w:tcPr>
          <w:p w14:paraId="6CEA1D89" w14:textId="77777777" w:rsidR="003C6938" w:rsidRPr="00E84D59" w:rsidRDefault="003C6938" w:rsidP="003C6938">
            <w:pPr>
              <w:jc w:val="center"/>
              <w:rPr>
                <w:b/>
              </w:rPr>
            </w:pPr>
            <w:r w:rsidRPr="00E84D59">
              <w:rPr>
                <w:b/>
              </w:rPr>
              <w:t>.8</w:t>
            </w:r>
            <w:r>
              <w:rPr>
                <w:b/>
              </w:rPr>
              <w:t>8</w:t>
            </w:r>
          </w:p>
        </w:tc>
        <w:tc>
          <w:tcPr>
            <w:tcW w:w="568" w:type="dxa"/>
            <w:tcBorders>
              <w:top w:val="nil"/>
              <w:left w:val="nil"/>
              <w:bottom w:val="nil"/>
              <w:right w:val="nil"/>
            </w:tcBorders>
            <w:shd w:val="clear" w:color="auto" w:fill="auto"/>
            <w:noWrap/>
            <w:vAlign w:val="bottom"/>
          </w:tcPr>
          <w:p w14:paraId="6C7C134B" w14:textId="77777777" w:rsidR="003C6938" w:rsidRPr="00E84D59" w:rsidRDefault="003C6938" w:rsidP="003C6938">
            <w:pPr>
              <w:jc w:val="center"/>
            </w:pPr>
            <w:r w:rsidRPr="00E84D59">
              <w:t>.02</w:t>
            </w:r>
          </w:p>
        </w:tc>
        <w:tc>
          <w:tcPr>
            <w:tcW w:w="616" w:type="dxa"/>
            <w:tcBorders>
              <w:left w:val="nil"/>
              <w:right w:val="nil"/>
            </w:tcBorders>
          </w:tcPr>
          <w:p w14:paraId="6EFD0E44" w14:textId="77777777" w:rsidR="003C6938" w:rsidRPr="00E84D59" w:rsidRDefault="003C6938" w:rsidP="003C6938">
            <w:pPr>
              <w:jc w:val="center"/>
              <w:rPr>
                <w:b/>
              </w:rPr>
            </w:pPr>
            <w:r w:rsidRPr="00E84D59">
              <w:rPr>
                <w:b/>
              </w:rPr>
              <w:t>-</w:t>
            </w:r>
          </w:p>
        </w:tc>
        <w:tc>
          <w:tcPr>
            <w:tcW w:w="531" w:type="dxa"/>
            <w:tcBorders>
              <w:left w:val="nil"/>
              <w:right w:val="nil"/>
            </w:tcBorders>
          </w:tcPr>
          <w:p w14:paraId="7D1947CD" w14:textId="77777777" w:rsidR="003C6938" w:rsidRPr="00E84D59" w:rsidRDefault="003C6938" w:rsidP="003C6938">
            <w:pPr>
              <w:jc w:val="center"/>
            </w:pPr>
            <w:r w:rsidRPr="00E84D59">
              <w:t>-</w:t>
            </w:r>
          </w:p>
        </w:tc>
      </w:tr>
      <w:tr w:rsidR="003C6938" w:rsidRPr="00E84D59" w14:paraId="0FC0D349"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526E57AA" w14:textId="77777777" w:rsidR="003C6938" w:rsidRPr="00E84D59" w:rsidRDefault="003C6938" w:rsidP="003C6938">
            <w:r w:rsidRPr="00E84D59">
              <w:t>7. Touched or fondled someone without his or her consent?</w:t>
            </w:r>
          </w:p>
        </w:tc>
        <w:tc>
          <w:tcPr>
            <w:tcW w:w="531" w:type="dxa"/>
            <w:tcBorders>
              <w:top w:val="nil"/>
              <w:left w:val="nil"/>
              <w:bottom w:val="nil"/>
              <w:right w:val="nil"/>
            </w:tcBorders>
            <w:shd w:val="clear" w:color="auto" w:fill="auto"/>
            <w:noWrap/>
            <w:vAlign w:val="bottom"/>
          </w:tcPr>
          <w:p w14:paraId="6E25EA53" w14:textId="77777777" w:rsidR="003C6938" w:rsidRPr="00E84D59" w:rsidRDefault="003C6938" w:rsidP="003C6938">
            <w:pPr>
              <w:jc w:val="center"/>
              <w:rPr>
                <w:b/>
              </w:rPr>
            </w:pPr>
            <w:r w:rsidRPr="00E84D59">
              <w:rPr>
                <w:b/>
              </w:rPr>
              <w:t>.9</w:t>
            </w:r>
            <w:r>
              <w:rPr>
                <w:b/>
              </w:rPr>
              <w:t>5</w:t>
            </w:r>
          </w:p>
        </w:tc>
        <w:tc>
          <w:tcPr>
            <w:tcW w:w="531" w:type="dxa"/>
            <w:tcBorders>
              <w:top w:val="nil"/>
              <w:left w:val="nil"/>
              <w:bottom w:val="nil"/>
              <w:right w:val="nil"/>
            </w:tcBorders>
            <w:shd w:val="clear" w:color="auto" w:fill="auto"/>
            <w:noWrap/>
            <w:vAlign w:val="bottom"/>
          </w:tcPr>
          <w:p w14:paraId="3F9B5CA0" w14:textId="77777777" w:rsidR="003C6938" w:rsidRPr="00E84D59" w:rsidRDefault="003C6938" w:rsidP="003C6938">
            <w:pPr>
              <w:jc w:val="center"/>
            </w:pPr>
            <w:r w:rsidRPr="00E84D59">
              <w:t>.02</w:t>
            </w:r>
          </w:p>
        </w:tc>
        <w:tc>
          <w:tcPr>
            <w:tcW w:w="616" w:type="dxa"/>
            <w:tcBorders>
              <w:top w:val="nil"/>
              <w:left w:val="nil"/>
              <w:bottom w:val="nil"/>
              <w:right w:val="nil"/>
            </w:tcBorders>
            <w:shd w:val="clear" w:color="auto" w:fill="auto"/>
            <w:noWrap/>
            <w:vAlign w:val="bottom"/>
          </w:tcPr>
          <w:p w14:paraId="463D444F" w14:textId="77777777" w:rsidR="003C6938" w:rsidRPr="00E84D59" w:rsidRDefault="003C6938" w:rsidP="003C6938">
            <w:pPr>
              <w:jc w:val="center"/>
              <w:rPr>
                <w:b/>
              </w:rPr>
            </w:pPr>
            <w:r w:rsidRPr="00E84D59">
              <w:rPr>
                <w:b/>
              </w:rPr>
              <w:t>-</w:t>
            </w:r>
          </w:p>
        </w:tc>
        <w:tc>
          <w:tcPr>
            <w:tcW w:w="536" w:type="dxa"/>
            <w:tcBorders>
              <w:top w:val="nil"/>
              <w:left w:val="nil"/>
              <w:bottom w:val="nil"/>
              <w:right w:val="nil"/>
            </w:tcBorders>
            <w:shd w:val="clear" w:color="auto" w:fill="auto"/>
            <w:noWrap/>
            <w:vAlign w:val="bottom"/>
          </w:tcPr>
          <w:p w14:paraId="377270E7" w14:textId="77777777" w:rsidR="003C6938" w:rsidRPr="00E84D59" w:rsidRDefault="003C6938" w:rsidP="003C6938">
            <w:pPr>
              <w:jc w:val="center"/>
            </w:pPr>
            <w:r w:rsidRPr="00E84D59">
              <w:t>-</w:t>
            </w:r>
          </w:p>
        </w:tc>
        <w:tc>
          <w:tcPr>
            <w:tcW w:w="236" w:type="dxa"/>
            <w:tcBorders>
              <w:top w:val="nil"/>
              <w:left w:val="nil"/>
              <w:bottom w:val="nil"/>
              <w:right w:val="nil"/>
            </w:tcBorders>
          </w:tcPr>
          <w:p w14:paraId="3C621E77" w14:textId="77777777" w:rsidR="003C6938" w:rsidRPr="00E84D59" w:rsidRDefault="003C6938" w:rsidP="003C6938">
            <w:pPr>
              <w:jc w:val="center"/>
              <w:rPr>
                <w:b/>
              </w:rPr>
            </w:pPr>
          </w:p>
        </w:tc>
        <w:tc>
          <w:tcPr>
            <w:tcW w:w="531" w:type="dxa"/>
            <w:gridSpan w:val="2"/>
            <w:tcBorders>
              <w:top w:val="nil"/>
              <w:left w:val="nil"/>
              <w:bottom w:val="nil"/>
              <w:right w:val="nil"/>
            </w:tcBorders>
            <w:shd w:val="clear" w:color="auto" w:fill="auto"/>
            <w:noWrap/>
            <w:vAlign w:val="bottom"/>
          </w:tcPr>
          <w:p w14:paraId="1B379F30" w14:textId="77777777" w:rsidR="003C6938" w:rsidRPr="00E84D59" w:rsidRDefault="003C6938" w:rsidP="003C6938">
            <w:pPr>
              <w:jc w:val="center"/>
              <w:rPr>
                <w:b/>
              </w:rPr>
            </w:pPr>
            <w:r w:rsidRPr="00E84D59">
              <w:rPr>
                <w:b/>
              </w:rPr>
              <w:t>.90</w:t>
            </w:r>
          </w:p>
        </w:tc>
        <w:tc>
          <w:tcPr>
            <w:tcW w:w="568" w:type="dxa"/>
            <w:tcBorders>
              <w:top w:val="nil"/>
              <w:left w:val="nil"/>
              <w:bottom w:val="nil"/>
              <w:right w:val="nil"/>
            </w:tcBorders>
            <w:shd w:val="clear" w:color="auto" w:fill="auto"/>
            <w:noWrap/>
            <w:vAlign w:val="bottom"/>
          </w:tcPr>
          <w:p w14:paraId="3FE2B3C1" w14:textId="77777777" w:rsidR="003C6938" w:rsidRPr="00E84D59" w:rsidRDefault="003C6938" w:rsidP="003C6938">
            <w:pPr>
              <w:jc w:val="center"/>
            </w:pPr>
            <w:r w:rsidRPr="00E84D59">
              <w:t>.03</w:t>
            </w:r>
          </w:p>
        </w:tc>
        <w:tc>
          <w:tcPr>
            <w:tcW w:w="616" w:type="dxa"/>
            <w:tcBorders>
              <w:left w:val="nil"/>
              <w:right w:val="nil"/>
            </w:tcBorders>
          </w:tcPr>
          <w:p w14:paraId="7716B93E" w14:textId="77777777" w:rsidR="003C6938" w:rsidRPr="00E84D59" w:rsidRDefault="003C6938" w:rsidP="003C6938">
            <w:pPr>
              <w:jc w:val="center"/>
              <w:rPr>
                <w:b/>
              </w:rPr>
            </w:pPr>
            <w:r w:rsidRPr="00E84D59">
              <w:rPr>
                <w:b/>
              </w:rPr>
              <w:t>-</w:t>
            </w:r>
          </w:p>
        </w:tc>
        <w:tc>
          <w:tcPr>
            <w:tcW w:w="531" w:type="dxa"/>
            <w:tcBorders>
              <w:left w:val="nil"/>
              <w:right w:val="nil"/>
            </w:tcBorders>
          </w:tcPr>
          <w:p w14:paraId="3DCD8053" w14:textId="77777777" w:rsidR="003C6938" w:rsidRPr="00E84D59" w:rsidRDefault="003C6938" w:rsidP="003C6938">
            <w:pPr>
              <w:jc w:val="center"/>
            </w:pPr>
            <w:r w:rsidRPr="00E84D59">
              <w:t>-</w:t>
            </w:r>
          </w:p>
        </w:tc>
      </w:tr>
      <w:tr w:rsidR="003C6938" w:rsidRPr="00E84D59" w14:paraId="4301485A"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737656E8" w14:textId="77777777" w:rsidR="003C6938" w:rsidRPr="00E84D59" w:rsidRDefault="003C6938" w:rsidP="003C6938">
            <w:r w:rsidRPr="00E84D59">
              <w:t>8. Made suggestive comments or touched others without their consent at school, work, etc.?</w:t>
            </w:r>
          </w:p>
        </w:tc>
        <w:tc>
          <w:tcPr>
            <w:tcW w:w="531" w:type="dxa"/>
            <w:tcBorders>
              <w:top w:val="nil"/>
              <w:left w:val="nil"/>
              <w:bottom w:val="nil"/>
              <w:right w:val="nil"/>
            </w:tcBorders>
            <w:shd w:val="clear" w:color="auto" w:fill="auto"/>
            <w:noWrap/>
            <w:vAlign w:val="bottom"/>
          </w:tcPr>
          <w:p w14:paraId="1DF0F5C0" w14:textId="77777777" w:rsidR="003C6938" w:rsidRPr="00E84D59" w:rsidRDefault="003C6938" w:rsidP="003C6938">
            <w:pPr>
              <w:jc w:val="center"/>
              <w:rPr>
                <w:b/>
              </w:rPr>
            </w:pPr>
            <w:r w:rsidRPr="00E84D59">
              <w:rPr>
                <w:b/>
              </w:rPr>
              <w:t>.9</w:t>
            </w:r>
            <w:r>
              <w:rPr>
                <w:b/>
              </w:rPr>
              <w:t>6</w:t>
            </w:r>
          </w:p>
        </w:tc>
        <w:tc>
          <w:tcPr>
            <w:tcW w:w="531" w:type="dxa"/>
            <w:tcBorders>
              <w:top w:val="nil"/>
              <w:left w:val="nil"/>
              <w:bottom w:val="nil"/>
              <w:right w:val="nil"/>
            </w:tcBorders>
            <w:shd w:val="clear" w:color="auto" w:fill="auto"/>
            <w:noWrap/>
            <w:vAlign w:val="bottom"/>
          </w:tcPr>
          <w:p w14:paraId="401076C8" w14:textId="77777777" w:rsidR="003C6938" w:rsidRPr="00E84D59" w:rsidRDefault="003C6938" w:rsidP="003C6938">
            <w:pPr>
              <w:jc w:val="center"/>
            </w:pPr>
            <w:r w:rsidRPr="00E84D59">
              <w:t>.01</w:t>
            </w:r>
          </w:p>
        </w:tc>
        <w:tc>
          <w:tcPr>
            <w:tcW w:w="616" w:type="dxa"/>
            <w:tcBorders>
              <w:top w:val="nil"/>
              <w:left w:val="nil"/>
              <w:bottom w:val="nil"/>
              <w:right w:val="nil"/>
            </w:tcBorders>
            <w:shd w:val="clear" w:color="auto" w:fill="auto"/>
            <w:noWrap/>
            <w:vAlign w:val="bottom"/>
          </w:tcPr>
          <w:p w14:paraId="52A99AB1" w14:textId="77777777" w:rsidR="003C6938" w:rsidRPr="00E84D59" w:rsidRDefault="003C6938" w:rsidP="003C6938">
            <w:pPr>
              <w:jc w:val="center"/>
              <w:rPr>
                <w:b/>
              </w:rPr>
            </w:pPr>
            <w:r w:rsidRPr="00E84D59">
              <w:rPr>
                <w:b/>
              </w:rPr>
              <w:t>-</w:t>
            </w:r>
          </w:p>
        </w:tc>
        <w:tc>
          <w:tcPr>
            <w:tcW w:w="536" w:type="dxa"/>
            <w:tcBorders>
              <w:top w:val="nil"/>
              <w:left w:val="nil"/>
              <w:bottom w:val="nil"/>
              <w:right w:val="nil"/>
            </w:tcBorders>
            <w:shd w:val="clear" w:color="auto" w:fill="auto"/>
            <w:noWrap/>
            <w:vAlign w:val="bottom"/>
          </w:tcPr>
          <w:p w14:paraId="4FA04F71" w14:textId="77777777" w:rsidR="003C6938" w:rsidRPr="00E84D59" w:rsidRDefault="003C6938" w:rsidP="003C6938">
            <w:pPr>
              <w:jc w:val="center"/>
            </w:pPr>
            <w:r w:rsidRPr="00E84D59">
              <w:t>-</w:t>
            </w:r>
          </w:p>
        </w:tc>
        <w:tc>
          <w:tcPr>
            <w:tcW w:w="236" w:type="dxa"/>
            <w:tcBorders>
              <w:top w:val="nil"/>
              <w:left w:val="nil"/>
              <w:bottom w:val="nil"/>
              <w:right w:val="nil"/>
            </w:tcBorders>
          </w:tcPr>
          <w:p w14:paraId="54148568" w14:textId="77777777" w:rsidR="003C6938" w:rsidRPr="00E84D59" w:rsidRDefault="003C6938" w:rsidP="003C6938">
            <w:pPr>
              <w:jc w:val="center"/>
              <w:rPr>
                <w:b/>
              </w:rPr>
            </w:pPr>
          </w:p>
        </w:tc>
        <w:tc>
          <w:tcPr>
            <w:tcW w:w="531" w:type="dxa"/>
            <w:gridSpan w:val="2"/>
            <w:tcBorders>
              <w:top w:val="nil"/>
              <w:left w:val="nil"/>
              <w:bottom w:val="nil"/>
              <w:right w:val="nil"/>
            </w:tcBorders>
            <w:shd w:val="clear" w:color="auto" w:fill="auto"/>
            <w:noWrap/>
            <w:vAlign w:val="bottom"/>
          </w:tcPr>
          <w:p w14:paraId="324EBB14" w14:textId="77777777" w:rsidR="003C6938" w:rsidRPr="00E84D59" w:rsidRDefault="003C6938" w:rsidP="003C6938">
            <w:pPr>
              <w:jc w:val="center"/>
              <w:rPr>
                <w:b/>
              </w:rPr>
            </w:pPr>
            <w:r w:rsidRPr="00E84D59">
              <w:rPr>
                <w:b/>
              </w:rPr>
              <w:t>.91</w:t>
            </w:r>
          </w:p>
        </w:tc>
        <w:tc>
          <w:tcPr>
            <w:tcW w:w="568" w:type="dxa"/>
            <w:tcBorders>
              <w:top w:val="nil"/>
              <w:left w:val="nil"/>
              <w:bottom w:val="nil"/>
              <w:right w:val="nil"/>
            </w:tcBorders>
            <w:shd w:val="clear" w:color="auto" w:fill="auto"/>
            <w:noWrap/>
            <w:vAlign w:val="bottom"/>
          </w:tcPr>
          <w:p w14:paraId="116BAF02" w14:textId="77777777" w:rsidR="003C6938" w:rsidRPr="00E84D59" w:rsidRDefault="003C6938" w:rsidP="003C6938">
            <w:pPr>
              <w:jc w:val="center"/>
            </w:pPr>
            <w:r w:rsidRPr="00E84D59">
              <w:t>.03</w:t>
            </w:r>
          </w:p>
        </w:tc>
        <w:tc>
          <w:tcPr>
            <w:tcW w:w="616" w:type="dxa"/>
            <w:tcBorders>
              <w:left w:val="nil"/>
              <w:right w:val="nil"/>
            </w:tcBorders>
          </w:tcPr>
          <w:p w14:paraId="6B2590CD" w14:textId="77777777" w:rsidR="003C6938" w:rsidRPr="00E84D59" w:rsidRDefault="003C6938" w:rsidP="003C6938">
            <w:pPr>
              <w:jc w:val="center"/>
              <w:rPr>
                <w:b/>
              </w:rPr>
            </w:pPr>
            <w:r w:rsidRPr="00E84D59">
              <w:rPr>
                <w:b/>
              </w:rPr>
              <w:t>-</w:t>
            </w:r>
          </w:p>
        </w:tc>
        <w:tc>
          <w:tcPr>
            <w:tcW w:w="531" w:type="dxa"/>
            <w:tcBorders>
              <w:left w:val="nil"/>
              <w:right w:val="nil"/>
            </w:tcBorders>
          </w:tcPr>
          <w:p w14:paraId="1B3107B4" w14:textId="77777777" w:rsidR="003C6938" w:rsidRPr="00E84D59" w:rsidRDefault="003C6938" w:rsidP="003C6938">
            <w:pPr>
              <w:jc w:val="center"/>
            </w:pPr>
            <w:r w:rsidRPr="00E84D59">
              <w:t>-</w:t>
            </w:r>
          </w:p>
        </w:tc>
      </w:tr>
      <w:tr w:rsidR="003C6938" w:rsidRPr="00E84D59" w14:paraId="4D14623C"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234174DF" w14:textId="77777777" w:rsidR="003C6938" w:rsidRPr="00E84D59" w:rsidRDefault="003C6938" w:rsidP="003C6938">
            <w:r w:rsidRPr="00E84D59">
              <w:t>9. Honked at someone while he or she was walking down the street?</w:t>
            </w:r>
          </w:p>
        </w:tc>
        <w:tc>
          <w:tcPr>
            <w:tcW w:w="531" w:type="dxa"/>
            <w:tcBorders>
              <w:top w:val="nil"/>
              <w:left w:val="nil"/>
              <w:bottom w:val="nil"/>
              <w:right w:val="nil"/>
            </w:tcBorders>
            <w:shd w:val="clear" w:color="auto" w:fill="auto"/>
            <w:noWrap/>
            <w:vAlign w:val="bottom"/>
          </w:tcPr>
          <w:p w14:paraId="212D5020" w14:textId="77777777" w:rsidR="003C6938" w:rsidRPr="00E84D59" w:rsidRDefault="003C6938" w:rsidP="003C6938">
            <w:pPr>
              <w:jc w:val="center"/>
              <w:rPr>
                <w:b/>
              </w:rPr>
            </w:pPr>
            <w:r w:rsidRPr="00E84D59">
              <w:rPr>
                <w:b/>
              </w:rPr>
              <w:t>.87</w:t>
            </w:r>
          </w:p>
        </w:tc>
        <w:tc>
          <w:tcPr>
            <w:tcW w:w="531" w:type="dxa"/>
            <w:tcBorders>
              <w:top w:val="nil"/>
              <w:left w:val="nil"/>
              <w:bottom w:val="nil"/>
              <w:right w:val="nil"/>
            </w:tcBorders>
            <w:shd w:val="clear" w:color="auto" w:fill="auto"/>
            <w:noWrap/>
            <w:vAlign w:val="bottom"/>
          </w:tcPr>
          <w:p w14:paraId="6267AF8B" w14:textId="77777777" w:rsidR="003C6938" w:rsidRPr="00E84D59" w:rsidRDefault="003C6938" w:rsidP="003C6938">
            <w:pPr>
              <w:jc w:val="center"/>
            </w:pPr>
            <w:r w:rsidRPr="00E84D59">
              <w:t>.02</w:t>
            </w:r>
          </w:p>
        </w:tc>
        <w:tc>
          <w:tcPr>
            <w:tcW w:w="616" w:type="dxa"/>
            <w:tcBorders>
              <w:top w:val="nil"/>
              <w:left w:val="nil"/>
              <w:bottom w:val="nil"/>
              <w:right w:val="nil"/>
            </w:tcBorders>
            <w:shd w:val="clear" w:color="auto" w:fill="auto"/>
            <w:noWrap/>
            <w:vAlign w:val="bottom"/>
          </w:tcPr>
          <w:p w14:paraId="3EC6521F" w14:textId="77777777" w:rsidR="003C6938" w:rsidRPr="00E84D59" w:rsidRDefault="003C6938" w:rsidP="003C6938">
            <w:pPr>
              <w:jc w:val="center"/>
              <w:rPr>
                <w:b/>
              </w:rPr>
            </w:pPr>
            <w:r w:rsidRPr="00E84D59">
              <w:rPr>
                <w:b/>
              </w:rPr>
              <w:t>-</w:t>
            </w:r>
          </w:p>
        </w:tc>
        <w:tc>
          <w:tcPr>
            <w:tcW w:w="536" w:type="dxa"/>
            <w:tcBorders>
              <w:top w:val="nil"/>
              <w:left w:val="nil"/>
              <w:bottom w:val="nil"/>
              <w:right w:val="nil"/>
            </w:tcBorders>
            <w:shd w:val="clear" w:color="auto" w:fill="auto"/>
            <w:noWrap/>
            <w:vAlign w:val="bottom"/>
          </w:tcPr>
          <w:p w14:paraId="594934F2" w14:textId="77777777" w:rsidR="003C6938" w:rsidRPr="00E84D59" w:rsidRDefault="003C6938" w:rsidP="003C6938">
            <w:pPr>
              <w:jc w:val="center"/>
            </w:pPr>
            <w:r w:rsidRPr="00E84D59">
              <w:t>-</w:t>
            </w:r>
          </w:p>
        </w:tc>
        <w:tc>
          <w:tcPr>
            <w:tcW w:w="236" w:type="dxa"/>
            <w:tcBorders>
              <w:top w:val="nil"/>
              <w:left w:val="nil"/>
              <w:bottom w:val="nil"/>
              <w:right w:val="nil"/>
            </w:tcBorders>
          </w:tcPr>
          <w:p w14:paraId="6880FEE7" w14:textId="77777777" w:rsidR="003C6938" w:rsidRPr="00E84D59" w:rsidRDefault="003C6938" w:rsidP="003C6938">
            <w:pPr>
              <w:jc w:val="center"/>
              <w:rPr>
                <w:b/>
              </w:rPr>
            </w:pPr>
          </w:p>
        </w:tc>
        <w:tc>
          <w:tcPr>
            <w:tcW w:w="531" w:type="dxa"/>
            <w:gridSpan w:val="2"/>
            <w:tcBorders>
              <w:top w:val="nil"/>
              <w:left w:val="nil"/>
              <w:bottom w:val="nil"/>
              <w:right w:val="nil"/>
            </w:tcBorders>
            <w:shd w:val="clear" w:color="auto" w:fill="auto"/>
            <w:noWrap/>
            <w:vAlign w:val="bottom"/>
          </w:tcPr>
          <w:p w14:paraId="37BFDFB3" w14:textId="77777777" w:rsidR="003C6938" w:rsidRPr="00E84D59" w:rsidRDefault="003C6938" w:rsidP="003C6938">
            <w:pPr>
              <w:jc w:val="center"/>
              <w:rPr>
                <w:b/>
              </w:rPr>
            </w:pPr>
            <w:r w:rsidRPr="00E84D59">
              <w:rPr>
                <w:b/>
              </w:rPr>
              <w:t>.93</w:t>
            </w:r>
          </w:p>
        </w:tc>
        <w:tc>
          <w:tcPr>
            <w:tcW w:w="568" w:type="dxa"/>
            <w:tcBorders>
              <w:top w:val="nil"/>
              <w:left w:val="nil"/>
              <w:bottom w:val="nil"/>
              <w:right w:val="nil"/>
            </w:tcBorders>
            <w:shd w:val="clear" w:color="auto" w:fill="auto"/>
            <w:noWrap/>
            <w:vAlign w:val="bottom"/>
          </w:tcPr>
          <w:p w14:paraId="56F5B290" w14:textId="77777777" w:rsidR="003C6938" w:rsidRPr="00E84D59" w:rsidRDefault="003C6938" w:rsidP="003C6938">
            <w:pPr>
              <w:jc w:val="center"/>
            </w:pPr>
            <w:r w:rsidRPr="00E84D59">
              <w:t>.02</w:t>
            </w:r>
          </w:p>
        </w:tc>
        <w:tc>
          <w:tcPr>
            <w:tcW w:w="616" w:type="dxa"/>
            <w:tcBorders>
              <w:left w:val="nil"/>
              <w:right w:val="nil"/>
            </w:tcBorders>
          </w:tcPr>
          <w:p w14:paraId="2AD024AB" w14:textId="77777777" w:rsidR="003C6938" w:rsidRPr="00E84D59" w:rsidRDefault="003C6938" w:rsidP="003C6938">
            <w:pPr>
              <w:jc w:val="center"/>
              <w:rPr>
                <w:b/>
              </w:rPr>
            </w:pPr>
            <w:r w:rsidRPr="00E84D59">
              <w:rPr>
                <w:b/>
              </w:rPr>
              <w:t>-</w:t>
            </w:r>
          </w:p>
        </w:tc>
        <w:tc>
          <w:tcPr>
            <w:tcW w:w="531" w:type="dxa"/>
            <w:tcBorders>
              <w:left w:val="nil"/>
              <w:right w:val="nil"/>
            </w:tcBorders>
          </w:tcPr>
          <w:p w14:paraId="0E1B6C3F" w14:textId="77777777" w:rsidR="003C6938" w:rsidRPr="00E84D59" w:rsidRDefault="003C6938" w:rsidP="003C6938">
            <w:pPr>
              <w:jc w:val="center"/>
            </w:pPr>
            <w:r w:rsidRPr="00E84D59">
              <w:t>-</w:t>
            </w:r>
          </w:p>
        </w:tc>
      </w:tr>
      <w:tr w:rsidR="003C6938" w:rsidRPr="00E84D59" w14:paraId="042758EE"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22097E3A" w14:textId="77777777" w:rsidR="003C6938" w:rsidRPr="00E84D59" w:rsidRDefault="003C6938" w:rsidP="003C6938">
            <w:r w:rsidRPr="00E84D59">
              <w:t>10. Made inappropriate sexual comments about someone's physical appearance?</w:t>
            </w:r>
          </w:p>
        </w:tc>
        <w:tc>
          <w:tcPr>
            <w:tcW w:w="531" w:type="dxa"/>
            <w:tcBorders>
              <w:top w:val="nil"/>
              <w:left w:val="nil"/>
              <w:bottom w:val="nil"/>
              <w:right w:val="nil"/>
            </w:tcBorders>
            <w:shd w:val="clear" w:color="auto" w:fill="auto"/>
            <w:noWrap/>
            <w:vAlign w:val="bottom"/>
          </w:tcPr>
          <w:p w14:paraId="613C3629" w14:textId="77777777" w:rsidR="003C6938" w:rsidRPr="00E84D59" w:rsidRDefault="003C6938" w:rsidP="003C6938">
            <w:pPr>
              <w:jc w:val="center"/>
              <w:rPr>
                <w:b/>
              </w:rPr>
            </w:pPr>
            <w:r w:rsidRPr="00E84D59">
              <w:rPr>
                <w:b/>
              </w:rPr>
              <w:t>.9</w:t>
            </w:r>
            <w:r>
              <w:rPr>
                <w:b/>
              </w:rPr>
              <w:t>4</w:t>
            </w:r>
          </w:p>
        </w:tc>
        <w:tc>
          <w:tcPr>
            <w:tcW w:w="531" w:type="dxa"/>
            <w:tcBorders>
              <w:top w:val="nil"/>
              <w:left w:val="nil"/>
              <w:bottom w:val="nil"/>
              <w:right w:val="nil"/>
            </w:tcBorders>
            <w:shd w:val="clear" w:color="auto" w:fill="auto"/>
            <w:noWrap/>
            <w:vAlign w:val="bottom"/>
          </w:tcPr>
          <w:p w14:paraId="5DF69A7C" w14:textId="77777777" w:rsidR="003C6938" w:rsidRPr="00E84D59" w:rsidRDefault="003C6938" w:rsidP="003C6938">
            <w:pPr>
              <w:jc w:val="center"/>
            </w:pPr>
            <w:r w:rsidRPr="00E84D59">
              <w:t>.01</w:t>
            </w:r>
          </w:p>
        </w:tc>
        <w:tc>
          <w:tcPr>
            <w:tcW w:w="616" w:type="dxa"/>
            <w:tcBorders>
              <w:top w:val="nil"/>
              <w:left w:val="nil"/>
              <w:bottom w:val="nil"/>
              <w:right w:val="nil"/>
            </w:tcBorders>
            <w:shd w:val="clear" w:color="auto" w:fill="auto"/>
            <w:noWrap/>
            <w:vAlign w:val="bottom"/>
          </w:tcPr>
          <w:p w14:paraId="58916DD9" w14:textId="77777777" w:rsidR="003C6938" w:rsidRPr="00E84D59" w:rsidRDefault="003C6938" w:rsidP="003C6938">
            <w:pPr>
              <w:jc w:val="center"/>
              <w:rPr>
                <w:b/>
              </w:rPr>
            </w:pPr>
            <w:r w:rsidRPr="00E84D59">
              <w:rPr>
                <w:b/>
              </w:rPr>
              <w:t>-</w:t>
            </w:r>
          </w:p>
        </w:tc>
        <w:tc>
          <w:tcPr>
            <w:tcW w:w="536" w:type="dxa"/>
            <w:tcBorders>
              <w:top w:val="nil"/>
              <w:left w:val="nil"/>
              <w:bottom w:val="nil"/>
              <w:right w:val="nil"/>
            </w:tcBorders>
            <w:shd w:val="clear" w:color="auto" w:fill="auto"/>
            <w:noWrap/>
            <w:vAlign w:val="bottom"/>
          </w:tcPr>
          <w:p w14:paraId="5E2FFFC3" w14:textId="77777777" w:rsidR="003C6938" w:rsidRPr="00E84D59" w:rsidRDefault="003C6938" w:rsidP="003C6938">
            <w:pPr>
              <w:jc w:val="center"/>
            </w:pPr>
            <w:r w:rsidRPr="00E84D59">
              <w:t>-</w:t>
            </w:r>
          </w:p>
        </w:tc>
        <w:tc>
          <w:tcPr>
            <w:tcW w:w="236" w:type="dxa"/>
            <w:tcBorders>
              <w:top w:val="nil"/>
              <w:left w:val="nil"/>
              <w:bottom w:val="nil"/>
              <w:right w:val="nil"/>
            </w:tcBorders>
          </w:tcPr>
          <w:p w14:paraId="7273C530" w14:textId="77777777" w:rsidR="003C6938" w:rsidRPr="00E84D59" w:rsidRDefault="003C6938" w:rsidP="003C6938">
            <w:pPr>
              <w:jc w:val="center"/>
              <w:rPr>
                <w:b/>
              </w:rPr>
            </w:pPr>
          </w:p>
        </w:tc>
        <w:tc>
          <w:tcPr>
            <w:tcW w:w="531" w:type="dxa"/>
            <w:gridSpan w:val="2"/>
            <w:tcBorders>
              <w:top w:val="nil"/>
              <w:left w:val="nil"/>
              <w:bottom w:val="nil"/>
              <w:right w:val="nil"/>
            </w:tcBorders>
            <w:shd w:val="clear" w:color="auto" w:fill="auto"/>
            <w:noWrap/>
            <w:vAlign w:val="bottom"/>
          </w:tcPr>
          <w:p w14:paraId="5E60AB1C" w14:textId="77777777" w:rsidR="003C6938" w:rsidRPr="00E84D59" w:rsidRDefault="003C6938" w:rsidP="003C6938">
            <w:pPr>
              <w:jc w:val="center"/>
              <w:rPr>
                <w:b/>
              </w:rPr>
            </w:pPr>
            <w:r w:rsidRPr="00E84D59">
              <w:rPr>
                <w:b/>
              </w:rPr>
              <w:t>.91</w:t>
            </w:r>
          </w:p>
        </w:tc>
        <w:tc>
          <w:tcPr>
            <w:tcW w:w="568" w:type="dxa"/>
            <w:tcBorders>
              <w:top w:val="nil"/>
              <w:left w:val="nil"/>
              <w:bottom w:val="nil"/>
              <w:right w:val="nil"/>
            </w:tcBorders>
            <w:shd w:val="clear" w:color="auto" w:fill="auto"/>
            <w:noWrap/>
            <w:vAlign w:val="bottom"/>
          </w:tcPr>
          <w:p w14:paraId="3D9147EF" w14:textId="77777777" w:rsidR="003C6938" w:rsidRPr="00E84D59" w:rsidRDefault="003C6938" w:rsidP="003C6938">
            <w:pPr>
              <w:jc w:val="center"/>
            </w:pPr>
            <w:r w:rsidRPr="00E84D59">
              <w:t>.02</w:t>
            </w:r>
          </w:p>
        </w:tc>
        <w:tc>
          <w:tcPr>
            <w:tcW w:w="616" w:type="dxa"/>
            <w:tcBorders>
              <w:left w:val="nil"/>
              <w:right w:val="nil"/>
            </w:tcBorders>
          </w:tcPr>
          <w:p w14:paraId="098171D8" w14:textId="77777777" w:rsidR="003C6938" w:rsidRPr="00E84D59" w:rsidRDefault="003C6938" w:rsidP="003C6938">
            <w:pPr>
              <w:jc w:val="center"/>
              <w:rPr>
                <w:b/>
              </w:rPr>
            </w:pPr>
            <w:r w:rsidRPr="00E84D59">
              <w:rPr>
                <w:b/>
              </w:rPr>
              <w:t>-</w:t>
            </w:r>
          </w:p>
        </w:tc>
        <w:tc>
          <w:tcPr>
            <w:tcW w:w="531" w:type="dxa"/>
            <w:tcBorders>
              <w:left w:val="nil"/>
              <w:right w:val="nil"/>
            </w:tcBorders>
          </w:tcPr>
          <w:p w14:paraId="45F93306" w14:textId="77777777" w:rsidR="003C6938" w:rsidRPr="00E84D59" w:rsidRDefault="003C6938" w:rsidP="003C6938">
            <w:pPr>
              <w:jc w:val="center"/>
            </w:pPr>
            <w:r w:rsidRPr="00E84D59">
              <w:t>-</w:t>
            </w:r>
          </w:p>
        </w:tc>
      </w:tr>
      <w:tr w:rsidR="003C6938" w:rsidRPr="00E84D59" w14:paraId="177B515D"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748B5D94" w14:textId="77777777" w:rsidR="003C6938" w:rsidRPr="00E84D59" w:rsidRDefault="003C6938" w:rsidP="003C6938">
            <w:r w:rsidRPr="00E84D59">
              <w:t>11. Stared at someone's body instead of listening to what he or she was saying?</w:t>
            </w:r>
          </w:p>
        </w:tc>
        <w:tc>
          <w:tcPr>
            <w:tcW w:w="531" w:type="dxa"/>
            <w:tcBorders>
              <w:top w:val="nil"/>
              <w:left w:val="nil"/>
              <w:bottom w:val="nil"/>
              <w:right w:val="nil"/>
            </w:tcBorders>
            <w:shd w:val="clear" w:color="auto" w:fill="auto"/>
            <w:noWrap/>
            <w:vAlign w:val="bottom"/>
          </w:tcPr>
          <w:p w14:paraId="2191DCAC" w14:textId="77777777" w:rsidR="003C6938" w:rsidRPr="00E84D59" w:rsidRDefault="003C6938" w:rsidP="003C6938">
            <w:pPr>
              <w:jc w:val="center"/>
              <w:rPr>
                <w:b/>
              </w:rPr>
            </w:pPr>
            <w:r w:rsidRPr="00E84D59">
              <w:rPr>
                <w:b/>
              </w:rPr>
              <w:t>.86</w:t>
            </w:r>
          </w:p>
        </w:tc>
        <w:tc>
          <w:tcPr>
            <w:tcW w:w="531" w:type="dxa"/>
            <w:tcBorders>
              <w:top w:val="nil"/>
              <w:left w:val="nil"/>
              <w:bottom w:val="nil"/>
              <w:right w:val="nil"/>
            </w:tcBorders>
            <w:shd w:val="clear" w:color="auto" w:fill="auto"/>
            <w:noWrap/>
            <w:vAlign w:val="bottom"/>
          </w:tcPr>
          <w:p w14:paraId="73CB6728" w14:textId="77777777" w:rsidR="003C6938" w:rsidRPr="00E84D59" w:rsidRDefault="003C6938" w:rsidP="003C6938">
            <w:pPr>
              <w:jc w:val="center"/>
            </w:pPr>
            <w:r w:rsidRPr="00E84D59">
              <w:t>.02</w:t>
            </w:r>
          </w:p>
        </w:tc>
        <w:tc>
          <w:tcPr>
            <w:tcW w:w="616" w:type="dxa"/>
            <w:tcBorders>
              <w:top w:val="nil"/>
              <w:left w:val="nil"/>
              <w:bottom w:val="nil"/>
              <w:right w:val="nil"/>
            </w:tcBorders>
            <w:shd w:val="clear" w:color="auto" w:fill="auto"/>
            <w:noWrap/>
            <w:vAlign w:val="bottom"/>
          </w:tcPr>
          <w:p w14:paraId="5D415DF8" w14:textId="77777777" w:rsidR="003C6938" w:rsidRPr="00E84D59" w:rsidRDefault="003C6938" w:rsidP="003C6938">
            <w:pPr>
              <w:jc w:val="center"/>
              <w:rPr>
                <w:b/>
              </w:rPr>
            </w:pPr>
            <w:r w:rsidRPr="00E84D59">
              <w:rPr>
                <w:b/>
              </w:rPr>
              <w:t>-</w:t>
            </w:r>
          </w:p>
        </w:tc>
        <w:tc>
          <w:tcPr>
            <w:tcW w:w="536" w:type="dxa"/>
            <w:tcBorders>
              <w:top w:val="nil"/>
              <w:left w:val="nil"/>
              <w:bottom w:val="nil"/>
              <w:right w:val="nil"/>
            </w:tcBorders>
            <w:shd w:val="clear" w:color="auto" w:fill="auto"/>
            <w:noWrap/>
            <w:vAlign w:val="bottom"/>
          </w:tcPr>
          <w:p w14:paraId="2FBED76D" w14:textId="77777777" w:rsidR="003C6938" w:rsidRPr="00E84D59" w:rsidRDefault="003C6938" w:rsidP="003C6938">
            <w:pPr>
              <w:jc w:val="center"/>
            </w:pPr>
            <w:r w:rsidRPr="00E84D59">
              <w:t>-</w:t>
            </w:r>
          </w:p>
        </w:tc>
        <w:tc>
          <w:tcPr>
            <w:tcW w:w="236" w:type="dxa"/>
            <w:tcBorders>
              <w:top w:val="nil"/>
              <w:left w:val="nil"/>
              <w:bottom w:val="nil"/>
              <w:right w:val="nil"/>
            </w:tcBorders>
          </w:tcPr>
          <w:p w14:paraId="475B2C64" w14:textId="77777777" w:rsidR="003C6938" w:rsidRPr="00E84D59" w:rsidRDefault="003C6938" w:rsidP="003C6938">
            <w:pPr>
              <w:jc w:val="center"/>
            </w:pPr>
          </w:p>
        </w:tc>
        <w:tc>
          <w:tcPr>
            <w:tcW w:w="531" w:type="dxa"/>
            <w:gridSpan w:val="2"/>
            <w:tcBorders>
              <w:top w:val="nil"/>
              <w:left w:val="nil"/>
              <w:bottom w:val="nil"/>
              <w:right w:val="nil"/>
            </w:tcBorders>
            <w:shd w:val="clear" w:color="auto" w:fill="auto"/>
            <w:noWrap/>
            <w:vAlign w:val="bottom"/>
          </w:tcPr>
          <w:p w14:paraId="0FC2D039" w14:textId="77777777" w:rsidR="003C6938" w:rsidRPr="00E84D59" w:rsidRDefault="003C6938" w:rsidP="003C6938">
            <w:pPr>
              <w:jc w:val="center"/>
              <w:rPr>
                <w:b/>
              </w:rPr>
            </w:pPr>
            <w:r w:rsidRPr="00E84D59">
              <w:rPr>
                <w:b/>
              </w:rPr>
              <w:t>.88</w:t>
            </w:r>
          </w:p>
        </w:tc>
        <w:tc>
          <w:tcPr>
            <w:tcW w:w="568" w:type="dxa"/>
            <w:tcBorders>
              <w:top w:val="nil"/>
              <w:left w:val="nil"/>
              <w:bottom w:val="nil"/>
              <w:right w:val="nil"/>
            </w:tcBorders>
            <w:shd w:val="clear" w:color="auto" w:fill="auto"/>
            <w:noWrap/>
            <w:vAlign w:val="bottom"/>
          </w:tcPr>
          <w:p w14:paraId="3FBAD0A8" w14:textId="77777777" w:rsidR="003C6938" w:rsidRPr="00E84D59" w:rsidRDefault="003C6938" w:rsidP="003C6938">
            <w:pPr>
              <w:jc w:val="center"/>
            </w:pPr>
            <w:r w:rsidRPr="00E84D59">
              <w:t>.02</w:t>
            </w:r>
          </w:p>
        </w:tc>
        <w:tc>
          <w:tcPr>
            <w:tcW w:w="616" w:type="dxa"/>
            <w:tcBorders>
              <w:left w:val="nil"/>
              <w:right w:val="nil"/>
            </w:tcBorders>
          </w:tcPr>
          <w:p w14:paraId="7CE38E7A" w14:textId="77777777" w:rsidR="003C6938" w:rsidRPr="00E84D59" w:rsidRDefault="003C6938" w:rsidP="003C6938">
            <w:pPr>
              <w:jc w:val="center"/>
              <w:rPr>
                <w:b/>
              </w:rPr>
            </w:pPr>
            <w:r w:rsidRPr="00E84D59">
              <w:rPr>
                <w:b/>
              </w:rPr>
              <w:t>-</w:t>
            </w:r>
          </w:p>
        </w:tc>
        <w:tc>
          <w:tcPr>
            <w:tcW w:w="531" w:type="dxa"/>
            <w:tcBorders>
              <w:left w:val="nil"/>
              <w:right w:val="nil"/>
            </w:tcBorders>
          </w:tcPr>
          <w:p w14:paraId="40DDC92B" w14:textId="77777777" w:rsidR="003C6938" w:rsidRPr="00E84D59" w:rsidRDefault="003C6938" w:rsidP="003C6938">
            <w:pPr>
              <w:jc w:val="center"/>
            </w:pPr>
            <w:r w:rsidRPr="00E84D59">
              <w:t>-</w:t>
            </w:r>
          </w:p>
        </w:tc>
      </w:tr>
      <w:tr w:rsidR="003C6938" w:rsidRPr="00E84D59" w14:paraId="40C817F7"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70ED0EFC" w14:textId="77777777" w:rsidR="003C6938" w:rsidRPr="00E84D59" w:rsidRDefault="003C6938" w:rsidP="003C6938">
            <w:r w:rsidRPr="00E84D59">
              <w:t>12. Made sexual comments or innuendos when noticing someone's body?</w:t>
            </w:r>
          </w:p>
        </w:tc>
        <w:tc>
          <w:tcPr>
            <w:tcW w:w="531" w:type="dxa"/>
            <w:tcBorders>
              <w:top w:val="nil"/>
              <w:left w:val="nil"/>
              <w:bottom w:val="nil"/>
              <w:right w:val="nil"/>
            </w:tcBorders>
            <w:shd w:val="clear" w:color="auto" w:fill="auto"/>
            <w:noWrap/>
            <w:vAlign w:val="bottom"/>
          </w:tcPr>
          <w:p w14:paraId="5164CE36" w14:textId="77777777" w:rsidR="003C6938" w:rsidRPr="00E84D59" w:rsidRDefault="003C6938" w:rsidP="003C6938">
            <w:pPr>
              <w:jc w:val="center"/>
              <w:rPr>
                <w:b/>
              </w:rPr>
            </w:pPr>
            <w:r w:rsidRPr="00E84D59">
              <w:rPr>
                <w:b/>
              </w:rPr>
              <w:t>.92</w:t>
            </w:r>
          </w:p>
        </w:tc>
        <w:tc>
          <w:tcPr>
            <w:tcW w:w="531" w:type="dxa"/>
            <w:tcBorders>
              <w:top w:val="nil"/>
              <w:left w:val="nil"/>
              <w:bottom w:val="nil"/>
              <w:right w:val="nil"/>
            </w:tcBorders>
            <w:shd w:val="clear" w:color="auto" w:fill="auto"/>
            <w:noWrap/>
            <w:vAlign w:val="bottom"/>
          </w:tcPr>
          <w:p w14:paraId="2347C06A" w14:textId="77777777" w:rsidR="003C6938" w:rsidRPr="00E84D59" w:rsidRDefault="003C6938" w:rsidP="003C6938">
            <w:pPr>
              <w:jc w:val="center"/>
            </w:pPr>
            <w:r w:rsidRPr="00E84D59">
              <w:t>.01</w:t>
            </w:r>
          </w:p>
        </w:tc>
        <w:tc>
          <w:tcPr>
            <w:tcW w:w="616" w:type="dxa"/>
            <w:tcBorders>
              <w:top w:val="nil"/>
              <w:left w:val="nil"/>
              <w:bottom w:val="nil"/>
              <w:right w:val="nil"/>
            </w:tcBorders>
            <w:shd w:val="clear" w:color="auto" w:fill="auto"/>
            <w:noWrap/>
            <w:vAlign w:val="bottom"/>
          </w:tcPr>
          <w:p w14:paraId="12AD7156" w14:textId="77777777" w:rsidR="003C6938" w:rsidRPr="00E84D59" w:rsidRDefault="003C6938" w:rsidP="003C6938">
            <w:pPr>
              <w:jc w:val="center"/>
              <w:rPr>
                <w:b/>
              </w:rPr>
            </w:pPr>
            <w:r w:rsidRPr="00E84D59">
              <w:rPr>
                <w:b/>
              </w:rPr>
              <w:t>-</w:t>
            </w:r>
          </w:p>
        </w:tc>
        <w:tc>
          <w:tcPr>
            <w:tcW w:w="536" w:type="dxa"/>
            <w:tcBorders>
              <w:top w:val="nil"/>
              <w:left w:val="nil"/>
              <w:bottom w:val="nil"/>
              <w:right w:val="nil"/>
            </w:tcBorders>
            <w:shd w:val="clear" w:color="auto" w:fill="auto"/>
            <w:noWrap/>
            <w:vAlign w:val="bottom"/>
          </w:tcPr>
          <w:p w14:paraId="22E1A704" w14:textId="77777777" w:rsidR="003C6938" w:rsidRPr="00E84D59" w:rsidRDefault="003C6938" w:rsidP="003C6938">
            <w:pPr>
              <w:jc w:val="center"/>
            </w:pPr>
            <w:r w:rsidRPr="00E84D59">
              <w:t>-</w:t>
            </w:r>
          </w:p>
        </w:tc>
        <w:tc>
          <w:tcPr>
            <w:tcW w:w="236" w:type="dxa"/>
            <w:tcBorders>
              <w:top w:val="nil"/>
              <w:left w:val="nil"/>
              <w:bottom w:val="nil"/>
              <w:right w:val="nil"/>
            </w:tcBorders>
          </w:tcPr>
          <w:p w14:paraId="45D115D3" w14:textId="77777777" w:rsidR="003C6938" w:rsidRPr="00E84D59" w:rsidRDefault="003C6938" w:rsidP="003C6938">
            <w:pPr>
              <w:jc w:val="center"/>
            </w:pPr>
          </w:p>
        </w:tc>
        <w:tc>
          <w:tcPr>
            <w:tcW w:w="531" w:type="dxa"/>
            <w:gridSpan w:val="2"/>
            <w:tcBorders>
              <w:top w:val="nil"/>
              <w:left w:val="nil"/>
              <w:bottom w:val="nil"/>
              <w:right w:val="nil"/>
            </w:tcBorders>
            <w:shd w:val="clear" w:color="auto" w:fill="auto"/>
            <w:noWrap/>
            <w:vAlign w:val="bottom"/>
          </w:tcPr>
          <w:p w14:paraId="013F2389" w14:textId="77777777" w:rsidR="003C6938" w:rsidRPr="00E84D59" w:rsidRDefault="003C6938" w:rsidP="003C6938">
            <w:pPr>
              <w:jc w:val="center"/>
              <w:rPr>
                <w:b/>
              </w:rPr>
            </w:pPr>
            <w:r w:rsidRPr="00E84D59">
              <w:rPr>
                <w:b/>
              </w:rPr>
              <w:t>.90</w:t>
            </w:r>
          </w:p>
        </w:tc>
        <w:tc>
          <w:tcPr>
            <w:tcW w:w="568" w:type="dxa"/>
            <w:tcBorders>
              <w:top w:val="nil"/>
              <w:left w:val="nil"/>
              <w:bottom w:val="nil"/>
              <w:right w:val="nil"/>
            </w:tcBorders>
            <w:shd w:val="clear" w:color="auto" w:fill="auto"/>
            <w:noWrap/>
            <w:vAlign w:val="bottom"/>
          </w:tcPr>
          <w:p w14:paraId="6E42F71D" w14:textId="77777777" w:rsidR="003C6938" w:rsidRPr="00E84D59" w:rsidRDefault="003C6938" w:rsidP="003C6938">
            <w:pPr>
              <w:jc w:val="center"/>
            </w:pPr>
            <w:r w:rsidRPr="00E84D59">
              <w:t>.01</w:t>
            </w:r>
          </w:p>
        </w:tc>
        <w:tc>
          <w:tcPr>
            <w:tcW w:w="616" w:type="dxa"/>
            <w:tcBorders>
              <w:left w:val="nil"/>
              <w:right w:val="nil"/>
            </w:tcBorders>
          </w:tcPr>
          <w:p w14:paraId="1A0F0428" w14:textId="77777777" w:rsidR="003C6938" w:rsidRPr="00E84D59" w:rsidRDefault="003C6938" w:rsidP="003C6938">
            <w:pPr>
              <w:jc w:val="center"/>
              <w:rPr>
                <w:b/>
              </w:rPr>
            </w:pPr>
            <w:r w:rsidRPr="00E84D59">
              <w:rPr>
                <w:b/>
              </w:rPr>
              <w:t>-</w:t>
            </w:r>
          </w:p>
        </w:tc>
        <w:tc>
          <w:tcPr>
            <w:tcW w:w="531" w:type="dxa"/>
            <w:tcBorders>
              <w:left w:val="nil"/>
              <w:right w:val="nil"/>
            </w:tcBorders>
          </w:tcPr>
          <w:p w14:paraId="4D1F31D8" w14:textId="77777777" w:rsidR="003C6938" w:rsidRPr="00E84D59" w:rsidRDefault="003C6938" w:rsidP="003C6938">
            <w:pPr>
              <w:jc w:val="center"/>
            </w:pPr>
            <w:r w:rsidRPr="00E84D59">
              <w:t>-</w:t>
            </w:r>
          </w:p>
        </w:tc>
      </w:tr>
      <w:tr w:rsidR="003C6938" w:rsidRPr="00E84D59" w14:paraId="36302CF9"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574C392B" w14:textId="77777777" w:rsidR="003C6938" w:rsidRPr="00E84D59" w:rsidRDefault="003C6938" w:rsidP="003C6938">
            <w:r w:rsidRPr="00E84D59">
              <w:t>13. Grabbed or pinched someone else's body without his or her consent?</w:t>
            </w:r>
          </w:p>
        </w:tc>
        <w:tc>
          <w:tcPr>
            <w:tcW w:w="531" w:type="dxa"/>
            <w:tcBorders>
              <w:top w:val="nil"/>
              <w:left w:val="nil"/>
              <w:bottom w:val="nil"/>
              <w:right w:val="nil"/>
            </w:tcBorders>
            <w:shd w:val="clear" w:color="auto" w:fill="auto"/>
            <w:noWrap/>
            <w:vAlign w:val="bottom"/>
          </w:tcPr>
          <w:p w14:paraId="223A09AE" w14:textId="77777777" w:rsidR="003C6938" w:rsidRPr="00E84D59" w:rsidRDefault="003C6938" w:rsidP="003C6938">
            <w:pPr>
              <w:jc w:val="center"/>
              <w:rPr>
                <w:b/>
              </w:rPr>
            </w:pPr>
            <w:r w:rsidRPr="00E84D59">
              <w:rPr>
                <w:b/>
              </w:rPr>
              <w:t>.97</w:t>
            </w:r>
          </w:p>
        </w:tc>
        <w:tc>
          <w:tcPr>
            <w:tcW w:w="531" w:type="dxa"/>
            <w:tcBorders>
              <w:top w:val="nil"/>
              <w:left w:val="nil"/>
              <w:bottom w:val="nil"/>
              <w:right w:val="nil"/>
            </w:tcBorders>
            <w:shd w:val="clear" w:color="auto" w:fill="auto"/>
            <w:noWrap/>
            <w:vAlign w:val="bottom"/>
          </w:tcPr>
          <w:p w14:paraId="279210A2" w14:textId="77777777" w:rsidR="003C6938" w:rsidRPr="00E84D59" w:rsidRDefault="003C6938" w:rsidP="003C6938">
            <w:pPr>
              <w:jc w:val="center"/>
            </w:pPr>
            <w:r w:rsidRPr="00E84D59">
              <w:t>.01</w:t>
            </w:r>
          </w:p>
        </w:tc>
        <w:tc>
          <w:tcPr>
            <w:tcW w:w="616" w:type="dxa"/>
            <w:tcBorders>
              <w:top w:val="nil"/>
              <w:left w:val="nil"/>
              <w:bottom w:val="nil"/>
              <w:right w:val="nil"/>
            </w:tcBorders>
            <w:shd w:val="clear" w:color="auto" w:fill="auto"/>
            <w:noWrap/>
            <w:vAlign w:val="bottom"/>
          </w:tcPr>
          <w:p w14:paraId="2994E813" w14:textId="77777777" w:rsidR="003C6938" w:rsidRPr="00E84D59" w:rsidRDefault="003C6938" w:rsidP="003C6938">
            <w:pPr>
              <w:jc w:val="center"/>
              <w:rPr>
                <w:b/>
              </w:rPr>
            </w:pPr>
            <w:r w:rsidRPr="00E84D59">
              <w:rPr>
                <w:b/>
              </w:rPr>
              <w:t>-</w:t>
            </w:r>
          </w:p>
        </w:tc>
        <w:tc>
          <w:tcPr>
            <w:tcW w:w="536" w:type="dxa"/>
            <w:tcBorders>
              <w:top w:val="nil"/>
              <w:left w:val="nil"/>
              <w:bottom w:val="nil"/>
              <w:right w:val="nil"/>
            </w:tcBorders>
            <w:shd w:val="clear" w:color="auto" w:fill="auto"/>
            <w:noWrap/>
            <w:vAlign w:val="bottom"/>
          </w:tcPr>
          <w:p w14:paraId="5097F6D8" w14:textId="77777777" w:rsidR="003C6938" w:rsidRPr="00E84D59" w:rsidRDefault="003C6938" w:rsidP="003C6938">
            <w:pPr>
              <w:jc w:val="center"/>
            </w:pPr>
            <w:r w:rsidRPr="00E84D59">
              <w:t>-</w:t>
            </w:r>
          </w:p>
        </w:tc>
        <w:tc>
          <w:tcPr>
            <w:tcW w:w="236" w:type="dxa"/>
            <w:tcBorders>
              <w:top w:val="nil"/>
              <w:left w:val="nil"/>
              <w:bottom w:val="nil"/>
              <w:right w:val="nil"/>
            </w:tcBorders>
          </w:tcPr>
          <w:p w14:paraId="70E5A36B" w14:textId="77777777" w:rsidR="003C6938" w:rsidRPr="00E84D59" w:rsidRDefault="003C6938" w:rsidP="003C6938">
            <w:pPr>
              <w:jc w:val="center"/>
            </w:pPr>
          </w:p>
        </w:tc>
        <w:tc>
          <w:tcPr>
            <w:tcW w:w="531" w:type="dxa"/>
            <w:gridSpan w:val="2"/>
            <w:tcBorders>
              <w:top w:val="nil"/>
              <w:left w:val="nil"/>
              <w:bottom w:val="nil"/>
              <w:right w:val="nil"/>
            </w:tcBorders>
            <w:shd w:val="clear" w:color="auto" w:fill="auto"/>
            <w:noWrap/>
            <w:vAlign w:val="bottom"/>
          </w:tcPr>
          <w:p w14:paraId="34BB2FBD" w14:textId="77777777" w:rsidR="003C6938" w:rsidRPr="00E84D59" w:rsidRDefault="003C6938" w:rsidP="003C6938">
            <w:pPr>
              <w:jc w:val="center"/>
              <w:rPr>
                <w:b/>
              </w:rPr>
            </w:pPr>
            <w:r w:rsidRPr="00E84D59">
              <w:rPr>
                <w:b/>
              </w:rPr>
              <w:t>.96</w:t>
            </w:r>
          </w:p>
        </w:tc>
        <w:tc>
          <w:tcPr>
            <w:tcW w:w="568" w:type="dxa"/>
            <w:tcBorders>
              <w:top w:val="nil"/>
              <w:left w:val="nil"/>
              <w:bottom w:val="nil"/>
              <w:right w:val="nil"/>
            </w:tcBorders>
            <w:shd w:val="clear" w:color="auto" w:fill="auto"/>
            <w:noWrap/>
            <w:vAlign w:val="bottom"/>
          </w:tcPr>
          <w:p w14:paraId="0C2346D8" w14:textId="77777777" w:rsidR="003C6938" w:rsidRPr="00E84D59" w:rsidRDefault="003C6938" w:rsidP="003C6938">
            <w:pPr>
              <w:jc w:val="center"/>
            </w:pPr>
            <w:r w:rsidRPr="00E84D59">
              <w:t>.02</w:t>
            </w:r>
          </w:p>
        </w:tc>
        <w:tc>
          <w:tcPr>
            <w:tcW w:w="616" w:type="dxa"/>
            <w:tcBorders>
              <w:left w:val="nil"/>
              <w:right w:val="nil"/>
            </w:tcBorders>
          </w:tcPr>
          <w:p w14:paraId="40619680" w14:textId="77777777" w:rsidR="003C6938" w:rsidRPr="00E84D59" w:rsidRDefault="003C6938" w:rsidP="003C6938">
            <w:pPr>
              <w:jc w:val="center"/>
              <w:rPr>
                <w:b/>
              </w:rPr>
            </w:pPr>
            <w:r w:rsidRPr="00E84D59">
              <w:rPr>
                <w:b/>
              </w:rPr>
              <w:t>-</w:t>
            </w:r>
          </w:p>
        </w:tc>
        <w:tc>
          <w:tcPr>
            <w:tcW w:w="531" w:type="dxa"/>
            <w:tcBorders>
              <w:left w:val="nil"/>
              <w:right w:val="nil"/>
            </w:tcBorders>
          </w:tcPr>
          <w:p w14:paraId="7AD771A8" w14:textId="77777777" w:rsidR="003C6938" w:rsidRPr="00E84D59" w:rsidRDefault="003C6938" w:rsidP="003C6938">
            <w:pPr>
              <w:jc w:val="center"/>
            </w:pPr>
            <w:r w:rsidRPr="00E84D59">
              <w:t>-</w:t>
            </w:r>
          </w:p>
        </w:tc>
      </w:tr>
      <w:tr w:rsidR="003C6938" w:rsidRPr="00E84D59" w14:paraId="0AF276C9"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713A1882" w14:textId="77777777" w:rsidR="003C6938" w:rsidRPr="00E84D59" w:rsidRDefault="003C6938" w:rsidP="003C6938">
            <w:r w:rsidRPr="00E84D59">
              <w:t>14. Made degrading sexual gestures towards others?</w:t>
            </w:r>
          </w:p>
        </w:tc>
        <w:tc>
          <w:tcPr>
            <w:tcW w:w="531" w:type="dxa"/>
            <w:tcBorders>
              <w:top w:val="nil"/>
              <w:left w:val="nil"/>
              <w:bottom w:val="nil"/>
              <w:right w:val="nil"/>
            </w:tcBorders>
            <w:shd w:val="clear" w:color="auto" w:fill="auto"/>
            <w:noWrap/>
            <w:vAlign w:val="bottom"/>
          </w:tcPr>
          <w:p w14:paraId="5CCB1B13" w14:textId="77777777" w:rsidR="003C6938" w:rsidRPr="00E84D59" w:rsidRDefault="003C6938" w:rsidP="003C6938">
            <w:pPr>
              <w:jc w:val="center"/>
              <w:rPr>
                <w:b/>
              </w:rPr>
            </w:pPr>
            <w:r w:rsidRPr="00E84D59">
              <w:rPr>
                <w:b/>
              </w:rPr>
              <w:t>.96</w:t>
            </w:r>
          </w:p>
        </w:tc>
        <w:tc>
          <w:tcPr>
            <w:tcW w:w="531" w:type="dxa"/>
            <w:tcBorders>
              <w:top w:val="nil"/>
              <w:left w:val="nil"/>
              <w:bottom w:val="nil"/>
              <w:right w:val="nil"/>
            </w:tcBorders>
            <w:shd w:val="clear" w:color="auto" w:fill="auto"/>
            <w:noWrap/>
            <w:vAlign w:val="bottom"/>
          </w:tcPr>
          <w:p w14:paraId="76DA9ECF" w14:textId="77777777" w:rsidR="003C6938" w:rsidRPr="00E84D59" w:rsidRDefault="003C6938" w:rsidP="003C6938">
            <w:pPr>
              <w:jc w:val="center"/>
            </w:pPr>
            <w:r w:rsidRPr="00E84D59">
              <w:t>.01</w:t>
            </w:r>
          </w:p>
        </w:tc>
        <w:tc>
          <w:tcPr>
            <w:tcW w:w="616" w:type="dxa"/>
            <w:tcBorders>
              <w:top w:val="nil"/>
              <w:left w:val="nil"/>
              <w:bottom w:val="nil"/>
              <w:right w:val="nil"/>
            </w:tcBorders>
            <w:shd w:val="clear" w:color="auto" w:fill="auto"/>
            <w:noWrap/>
            <w:vAlign w:val="bottom"/>
          </w:tcPr>
          <w:p w14:paraId="3C0B7584" w14:textId="77777777" w:rsidR="003C6938" w:rsidRPr="00E84D59" w:rsidRDefault="003C6938" w:rsidP="003C6938">
            <w:pPr>
              <w:jc w:val="center"/>
              <w:rPr>
                <w:b/>
              </w:rPr>
            </w:pPr>
            <w:r w:rsidRPr="00E84D59">
              <w:rPr>
                <w:b/>
              </w:rPr>
              <w:t>-</w:t>
            </w:r>
          </w:p>
        </w:tc>
        <w:tc>
          <w:tcPr>
            <w:tcW w:w="536" w:type="dxa"/>
            <w:tcBorders>
              <w:top w:val="nil"/>
              <w:left w:val="nil"/>
              <w:bottom w:val="nil"/>
              <w:right w:val="nil"/>
            </w:tcBorders>
            <w:shd w:val="clear" w:color="auto" w:fill="auto"/>
            <w:noWrap/>
            <w:vAlign w:val="bottom"/>
          </w:tcPr>
          <w:p w14:paraId="1EA82EC8" w14:textId="77777777" w:rsidR="003C6938" w:rsidRPr="00E84D59" w:rsidRDefault="003C6938" w:rsidP="003C6938">
            <w:pPr>
              <w:jc w:val="center"/>
            </w:pPr>
            <w:r w:rsidRPr="00E84D59">
              <w:t>-</w:t>
            </w:r>
          </w:p>
        </w:tc>
        <w:tc>
          <w:tcPr>
            <w:tcW w:w="236" w:type="dxa"/>
            <w:tcBorders>
              <w:top w:val="nil"/>
              <w:left w:val="nil"/>
              <w:bottom w:val="nil"/>
              <w:right w:val="nil"/>
            </w:tcBorders>
          </w:tcPr>
          <w:p w14:paraId="351782BA" w14:textId="77777777" w:rsidR="003C6938" w:rsidRPr="00E84D59" w:rsidRDefault="003C6938" w:rsidP="003C6938">
            <w:pPr>
              <w:jc w:val="center"/>
              <w:rPr>
                <w:b/>
              </w:rPr>
            </w:pPr>
          </w:p>
        </w:tc>
        <w:tc>
          <w:tcPr>
            <w:tcW w:w="531" w:type="dxa"/>
            <w:gridSpan w:val="2"/>
            <w:tcBorders>
              <w:top w:val="nil"/>
              <w:left w:val="nil"/>
              <w:bottom w:val="nil"/>
              <w:right w:val="nil"/>
            </w:tcBorders>
            <w:shd w:val="clear" w:color="auto" w:fill="auto"/>
            <w:noWrap/>
            <w:vAlign w:val="bottom"/>
          </w:tcPr>
          <w:p w14:paraId="61FEEBC4" w14:textId="77777777" w:rsidR="003C6938" w:rsidRPr="00E84D59" w:rsidRDefault="003C6938" w:rsidP="003C6938">
            <w:pPr>
              <w:jc w:val="center"/>
              <w:rPr>
                <w:b/>
              </w:rPr>
            </w:pPr>
            <w:r w:rsidRPr="00E84D59">
              <w:rPr>
                <w:b/>
              </w:rPr>
              <w:t>.94</w:t>
            </w:r>
          </w:p>
        </w:tc>
        <w:tc>
          <w:tcPr>
            <w:tcW w:w="568" w:type="dxa"/>
            <w:tcBorders>
              <w:top w:val="nil"/>
              <w:left w:val="nil"/>
              <w:bottom w:val="nil"/>
              <w:right w:val="nil"/>
            </w:tcBorders>
            <w:shd w:val="clear" w:color="auto" w:fill="auto"/>
            <w:noWrap/>
            <w:vAlign w:val="bottom"/>
          </w:tcPr>
          <w:p w14:paraId="0BA7A203" w14:textId="77777777" w:rsidR="003C6938" w:rsidRPr="00E84D59" w:rsidRDefault="003C6938" w:rsidP="003C6938">
            <w:pPr>
              <w:jc w:val="center"/>
            </w:pPr>
            <w:r w:rsidRPr="00E84D59">
              <w:t>.02</w:t>
            </w:r>
          </w:p>
        </w:tc>
        <w:tc>
          <w:tcPr>
            <w:tcW w:w="616" w:type="dxa"/>
            <w:tcBorders>
              <w:left w:val="nil"/>
              <w:right w:val="nil"/>
            </w:tcBorders>
          </w:tcPr>
          <w:p w14:paraId="38FEFE78" w14:textId="77777777" w:rsidR="003C6938" w:rsidRPr="00E84D59" w:rsidRDefault="003C6938" w:rsidP="003C6938">
            <w:pPr>
              <w:jc w:val="center"/>
              <w:rPr>
                <w:b/>
              </w:rPr>
            </w:pPr>
            <w:r w:rsidRPr="00E84D59">
              <w:rPr>
                <w:b/>
              </w:rPr>
              <w:t>-</w:t>
            </w:r>
          </w:p>
        </w:tc>
        <w:tc>
          <w:tcPr>
            <w:tcW w:w="531" w:type="dxa"/>
            <w:tcBorders>
              <w:left w:val="nil"/>
              <w:right w:val="nil"/>
            </w:tcBorders>
          </w:tcPr>
          <w:p w14:paraId="29750FF8" w14:textId="77777777" w:rsidR="003C6938" w:rsidRPr="00E84D59" w:rsidRDefault="003C6938" w:rsidP="003C6938">
            <w:pPr>
              <w:jc w:val="center"/>
            </w:pPr>
            <w:r w:rsidRPr="00E84D59">
              <w:t>-</w:t>
            </w:r>
          </w:p>
        </w:tc>
      </w:tr>
      <w:tr w:rsidR="003C6938" w:rsidRPr="00E84D59" w14:paraId="347D081B"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12C3C0C2" w14:textId="77777777" w:rsidR="003C6938" w:rsidRPr="00E84D59" w:rsidRDefault="003C6938" w:rsidP="003C6938">
            <w:r w:rsidRPr="00E84D59">
              <w:t>15. There is nothing wrong with whistling at someone walking down the street.</w:t>
            </w:r>
          </w:p>
        </w:tc>
        <w:tc>
          <w:tcPr>
            <w:tcW w:w="531" w:type="dxa"/>
            <w:tcBorders>
              <w:top w:val="nil"/>
              <w:left w:val="nil"/>
              <w:bottom w:val="nil"/>
              <w:right w:val="nil"/>
            </w:tcBorders>
            <w:shd w:val="clear" w:color="auto" w:fill="auto"/>
            <w:noWrap/>
            <w:vAlign w:val="bottom"/>
          </w:tcPr>
          <w:p w14:paraId="7AC68DBE" w14:textId="77777777" w:rsidR="003C6938" w:rsidRPr="00E84D59" w:rsidRDefault="003C6938" w:rsidP="003C6938">
            <w:pPr>
              <w:jc w:val="center"/>
              <w:rPr>
                <w:b/>
              </w:rPr>
            </w:pPr>
            <w:r w:rsidRPr="00E84D59">
              <w:rPr>
                <w:b/>
              </w:rPr>
              <w:t>-</w:t>
            </w:r>
          </w:p>
        </w:tc>
        <w:tc>
          <w:tcPr>
            <w:tcW w:w="531" w:type="dxa"/>
            <w:tcBorders>
              <w:top w:val="nil"/>
              <w:left w:val="nil"/>
              <w:bottom w:val="nil"/>
              <w:right w:val="nil"/>
            </w:tcBorders>
            <w:shd w:val="clear" w:color="auto" w:fill="auto"/>
            <w:noWrap/>
            <w:vAlign w:val="bottom"/>
          </w:tcPr>
          <w:p w14:paraId="2E38A5DD" w14:textId="77777777" w:rsidR="003C6938" w:rsidRPr="00E84D59" w:rsidRDefault="003C6938" w:rsidP="003C6938">
            <w:pPr>
              <w:jc w:val="center"/>
            </w:pPr>
            <w:r w:rsidRPr="00E84D59">
              <w:t>-</w:t>
            </w:r>
          </w:p>
        </w:tc>
        <w:tc>
          <w:tcPr>
            <w:tcW w:w="616" w:type="dxa"/>
            <w:tcBorders>
              <w:top w:val="nil"/>
              <w:left w:val="nil"/>
              <w:bottom w:val="nil"/>
              <w:right w:val="nil"/>
            </w:tcBorders>
            <w:shd w:val="clear" w:color="auto" w:fill="auto"/>
            <w:noWrap/>
            <w:vAlign w:val="bottom"/>
          </w:tcPr>
          <w:p w14:paraId="4E3FE23B" w14:textId="77777777" w:rsidR="003C6938" w:rsidRPr="00E84D59" w:rsidRDefault="003C6938" w:rsidP="003C6938">
            <w:pPr>
              <w:jc w:val="center"/>
              <w:rPr>
                <w:b/>
              </w:rPr>
            </w:pPr>
            <w:r w:rsidRPr="00E84D59">
              <w:rPr>
                <w:b/>
              </w:rPr>
              <w:t>.7</w:t>
            </w:r>
            <w:r>
              <w:rPr>
                <w:b/>
              </w:rPr>
              <w:t>5</w:t>
            </w:r>
          </w:p>
        </w:tc>
        <w:tc>
          <w:tcPr>
            <w:tcW w:w="536" w:type="dxa"/>
            <w:tcBorders>
              <w:top w:val="nil"/>
              <w:left w:val="nil"/>
              <w:bottom w:val="nil"/>
              <w:right w:val="nil"/>
            </w:tcBorders>
            <w:shd w:val="clear" w:color="auto" w:fill="auto"/>
            <w:noWrap/>
            <w:vAlign w:val="bottom"/>
          </w:tcPr>
          <w:p w14:paraId="03D6CE33" w14:textId="77777777" w:rsidR="003C6938" w:rsidRPr="00E84D59" w:rsidRDefault="003C6938" w:rsidP="003C6938">
            <w:pPr>
              <w:jc w:val="center"/>
            </w:pPr>
            <w:r w:rsidRPr="00E84D59">
              <w:t>.0</w:t>
            </w:r>
            <w:r>
              <w:t>3</w:t>
            </w:r>
          </w:p>
        </w:tc>
        <w:tc>
          <w:tcPr>
            <w:tcW w:w="236" w:type="dxa"/>
            <w:tcBorders>
              <w:top w:val="nil"/>
              <w:left w:val="nil"/>
              <w:bottom w:val="nil"/>
              <w:right w:val="nil"/>
            </w:tcBorders>
          </w:tcPr>
          <w:p w14:paraId="62B1290E" w14:textId="77777777" w:rsidR="003C6938" w:rsidRPr="00E84D59" w:rsidRDefault="003C6938" w:rsidP="003C6938">
            <w:pPr>
              <w:jc w:val="center"/>
            </w:pPr>
          </w:p>
        </w:tc>
        <w:tc>
          <w:tcPr>
            <w:tcW w:w="531" w:type="dxa"/>
            <w:gridSpan w:val="2"/>
            <w:tcBorders>
              <w:top w:val="nil"/>
              <w:left w:val="nil"/>
              <w:bottom w:val="nil"/>
              <w:right w:val="nil"/>
            </w:tcBorders>
            <w:shd w:val="clear" w:color="auto" w:fill="auto"/>
            <w:noWrap/>
            <w:vAlign w:val="bottom"/>
          </w:tcPr>
          <w:p w14:paraId="4180F692" w14:textId="77777777" w:rsidR="003C6938" w:rsidRPr="00E84D59" w:rsidRDefault="003C6938" w:rsidP="003C6938">
            <w:pPr>
              <w:jc w:val="center"/>
            </w:pPr>
            <w:r w:rsidRPr="00E84D59">
              <w:t>-</w:t>
            </w:r>
          </w:p>
        </w:tc>
        <w:tc>
          <w:tcPr>
            <w:tcW w:w="568" w:type="dxa"/>
            <w:tcBorders>
              <w:top w:val="nil"/>
              <w:left w:val="nil"/>
              <w:bottom w:val="nil"/>
              <w:right w:val="nil"/>
            </w:tcBorders>
            <w:shd w:val="clear" w:color="auto" w:fill="auto"/>
            <w:noWrap/>
            <w:vAlign w:val="bottom"/>
          </w:tcPr>
          <w:p w14:paraId="0B801BE1" w14:textId="77777777" w:rsidR="003C6938" w:rsidRPr="00E84D59" w:rsidRDefault="003C6938" w:rsidP="003C6938">
            <w:pPr>
              <w:jc w:val="center"/>
            </w:pPr>
            <w:r w:rsidRPr="00E84D59">
              <w:t>-</w:t>
            </w:r>
          </w:p>
        </w:tc>
        <w:tc>
          <w:tcPr>
            <w:tcW w:w="616" w:type="dxa"/>
            <w:tcBorders>
              <w:left w:val="nil"/>
              <w:right w:val="nil"/>
            </w:tcBorders>
          </w:tcPr>
          <w:p w14:paraId="4CBA3C3D" w14:textId="77777777" w:rsidR="003C6938" w:rsidRPr="00E84D59" w:rsidRDefault="003C6938" w:rsidP="003C6938">
            <w:pPr>
              <w:jc w:val="center"/>
              <w:rPr>
                <w:b/>
              </w:rPr>
            </w:pPr>
            <w:r w:rsidRPr="00E84D59">
              <w:rPr>
                <w:b/>
              </w:rPr>
              <w:t>.8</w:t>
            </w:r>
            <w:r>
              <w:rPr>
                <w:b/>
              </w:rPr>
              <w:t>4</w:t>
            </w:r>
          </w:p>
        </w:tc>
        <w:tc>
          <w:tcPr>
            <w:tcW w:w="531" w:type="dxa"/>
            <w:tcBorders>
              <w:left w:val="nil"/>
              <w:right w:val="nil"/>
            </w:tcBorders>
          </w:tcPr>
          <w:p w14:paraId="1FA5BE2A" w14:textId="77777777" w:rsidR="003C6938" w:rsidRPr="00E84D59" w:rsidRDefault="003C6938" w:rsidP="003C6938">
            <w:pPr>
              <w:jc w:val="center"/>
            </w:pPr>
            <w:r w:rsidRPr="00E84D59">
              <w:t>.03</w:t>
            </w:r>
          </w:p>
        </w:tc>
      </w:tr>
      <w:tr w:rsidR="003C6938" w:rsidRPr="00E84D59" w14:paraId="408299E0"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3BACCC26" w14:textId="77777777" w:rsidR="003C6938" w:rsidRPr="00E84D59" w:rsidRDefault="003C6938" w:rsidP="003C6938">
            <w:r w:rsidRPr="00E84D59">
              <w:t>16. I would never touch someone’s body without asking first.</w:t>
            </w:r>
          </w:p>
        </w:tc>
        <w:tc>
          <w:tcPr>
            <w:tcW w:w="531" w:type="dxa"/>
            <w:tcBorders>
              <w:top w:val="nil"/>
              <w:left w:val="nil"/>
              <w:bottom w:val="nil"/>
              <w:right w:val="nil"/>
            </w:tcBorders>
            <w:shd w:val="clear" w:color="auto" w:fill="auto"/>
            <w:noWrap/>
            <w:vAlign w:val="bottom"/>
          </w:tcPr>
          <w:p w14:paraId="6F20AD8F" w14:textId="77777777" w:rsidR="003C6938" w:rsidRPr="00E84D59" w:rsidRDefault="003C6938" w:rsidP="003C6938">
            <w:pPr>
              <w:jc w:val="center"/>
              <w:rPr>
                <w:b/>
              </w:rPr>
            </w:pPr>
            <w:r w:rsidRPr="00E84D59">
              <w:rPr>
                <w:b/>
              </w:rPr>
              <w:t>-</w:t>
            </w:r>
          </w:p>
        </w:tc>
        <w:tc>
          <w:tcPr>
            <w:tcW w:w="531" w:type="dxa"/>
            <w:tcBorders>
              <w:top w:val="nil"/>
              <w:left w:val="nil"/>
              <w:bottom w:val="nil"/>
              <w:right w:val="nil"/>
            </w:tcBorders>
            <w:shd w:val="clear" w:color="auto" w:fill="auto"/>
            <w:noWrap/>
            <w:vAlign w:val="bottom"/>
          </w:tcPr>
          <w:p w14:paraId="53AF4C65" w14:textId="77777777" w:rsidR="003C6938" w:rsidRPr="00E84D59" w:rsidRDefault="003C6938" w:rsidP="003C6938">
            <w:pPr>
              <w:jc w:val="center"/>
            </w:pPr>
            <w:r w:rsidRPr="00E84D59">
              <w:t>-</w:t>
            </w:r>
          </w:p>
        </w:tc>
        <w:tc>
          <w:tcPr>
            <w:tcW w:w="616" w:type="dxa"/>
            <w:tcBorders>
              <w:top w:val="nil"/>
              <w:left w:val="nil"/>
              <w:bottom w:val="nil"/>
              <w:right w:val="nil"/>
            </w:tcBorders>
            <w:shd w:val="clear" w:color="auto" w:fill="auto"/>
            <w:noWrap/>
            <w:vAlign w:val="bottom"/>
          </w:tcPr>
          <w:p w14:paraId="0712ABDE" w14:textId="77777777" w:rsidR="003C6938" w:rsidRPr="00E84D59" w:rsidRDefault="003C6938" w:rsidP="003C6938">
            <w:pPr>
              <w:jc w:val="center"/>
              <w:rPr>
                <w:b/>
              </w:rPr>
            </w:pPr>
            <w:r w:rsidRPr="00E84D59">
              <w:rPr>
                <w:b/>
              </w:rPr>
              <w:t>-.50</w:t>
            </w:r>
          </w:p>
        </w:tc>
        <w:tc>
          <w:tcPr>
            <w:tcW w:w="536" w:type="dxa"/>
            <w:tcBorders>
              <w:top w:val="nil"/>
              <w:left w:val="nil"/>
              <w:bottom w:val="nil"/>
              <w:right w:val="nil"/>
            </w:tcBorders>
            <w:shd w:val="clear" w:color="auto" w:fill="auto"/>
            <w:noWrap/>
            <w:vAlign w:val="bottom"/>
          </w:tcPr>
          <w:p w14:paraId="725809B6" w14:textId="77777777" w:rsidR="003C6938" w:rsidRPr="00E84D59" w:rsidRDefault="003C6938" w:rsidP="003C6938">
            <w:pPr>
              <w:jc w:val="center"/>
            </w:pPr>
            <w:r w:rsidRPr="00E84D59">
              <w:t>.04</w:t>
            </w:r>
          </w:p>
        </w:tc>
        <w:tc>
          <w:tcPr>
            <w:tcW w:w="236" w:type="dxa"/>
            <w:tcBorders>
              <w:top w:val="nil"/>
              <w:left w:val="nil"/>
              <w:bottom w:val="nil"/>
              <w:right w:val="nil"/>
            </w:tcBorders>
          </w:tcPr>
          <w:p w14:paraId="36796F72" w14:textId="77777777" w:rsidR="003C6938" w:rsidRPr="00E84D59" w:rsidRDefault="003C6938" w:rsidP="003C6938">
            <w:pPr>
              <w:jc w:val="center"/>
              <w:rPr>
                <w:b/>
              </w:rPr>
            </w:pPr>
          </w:p>
        </w:tc>
        <w:tc>
          <w:tcPr>
            <w:tcW w:w="531" w:type="dxa"/>
            <w:gridSpan w:val="2"/>
            <w:tcBorders>
              <w:top w:val="nil"/>
              <w:left w:val="nil"/>
              <w:bottom w:val="nil"/>
              <w:right w:val="nil"/>
            </w:tcBorders>
            <w:shd w:val="clear" w:color="auto" w:fill="auto"/>
            <w:noWrap/>
            <w:vAlign w:val="bottom"/>
          </w:tcPr>
          <w:p w14:paraId="6BB54AA5" w14:textId="77777777" w:rsidR="003C6938" w:rsidRPr="00E84D59" w:rsidRDefault="003C6938" w:rsidP="003C6938">
            <w:pPr>
              <w:jc w:val="center"/>
              <w:rPr>
                <w:b/>
              </w:rPr>
            </w:pPr>
            <w:r w:rsidRPr="00E84D59">
              <w:rPr>
                <w:b/>
              </w:rPr>
              <w:t>-</w:t>
            </w:r>
          </w:p>
        </w:tc>
        <w:tc>
          <w:tcPr>
            <w:tcW w:w="568" w:type="dxa"/>
            <w:tcBorders>
              <w:top w:val="nil"/>
              <w:left w:val="nil"/>
              <w:bottom w:val="nil"/>
              <w:right w:val="nil"/>
            </w:tcBorders>
            <w:shd w:val="clear" w:color="auto" w:fill="auto"/>
            <w:noWrap/>
            <w:vAlign w:val="bottom"/>
          </w:tcPr>
          <w:p w14:paraId="24FD7ACD" w14:textId="77777777" w:rsidR="003C6938" w:rsidRPr="00E84D59" w:rsidRDefault="003C6938" w:rsidP="003C6938">
            <w:pPr>
              <w:jc w:val="center"/>
            </w:pPr>
            <w:r w:rsidRPr="00E84D59">
              <w:t>-</w:t>
            </w:r>
          </w:p>
        </w:tc>
        <w:tc>
          <w:tcPr>
            <w:tcW w:w="616" w:type="dxa"/>
            <w:tcBorders>
              <w:left w:val="nil"/>
              <w:right w:val="nil"/>
            </w:tcBorders>
          </w:tcPr>
          <w:p w14:paraId="2B5CE2D1" w14:textId="77777777" w:rsidR="003C6938" w:rsidRPr="00E84D59" w:rsidRDefault="003C6938" w:rsidP="003C6938">
            <w:pPr>
              <w:jc w:val="center"/>
              <w:rPr>
                <w:b/>
              </w:rPr>
            </w:pPr>
            <w:r w:rsidRPr="00E84D59">
              <w:rPr>
                <w:b/>
              </w:rPr>
              <w:t>-.6</w:t>
            </w:r>
            <w:r>
              <w:rPr>
                <w:b/>
              </w:rPr>
              <w:t>7</w:t>
            </w:r>
          </w:p>
        </w:tc>
        <w:tc>
          <w:tcPr>
            <w:tcW w:w="531" w:type="dxa"/>
            <w:tcBorders>
              <w:left w:val="nil"/>
              <w:right w:val="nil"/>
            </w:tcBorders>
          </w:tcPr>
          <w:p w14:paraId="25762553" w14:textId="77777777" w:rsidR="003C6938" w:rsidRPr="00E84D59" w:rsidRDefault="003C6938" w:rsidP="003C6938">
            <w:pPr>
              <w:jc w:val="center"/>
            </w:pPr>
            <w:r w:rsidRPr="00E84D59">
              <w:t>.04</w:t>
            </w:r>
          </w:p>
        </w:tc>
      </w:tr>
      <w:tr w:rsidR="003C6938" w:rsidRPr="00E84D59" w14:paraId="54FCD3A0"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6D55ED1B" w14:textId="77777777" w:rsidR="003C6938" w:rsidRPr="00E84D59" w:rsidRDefault="003C6938" w:rsidP="003C6938">
            <w:pPr>
              <w:rPr>
                <w:b/>
              </w:rPr>
            </w:pPr>
            <w:r w:rsidRPr="00E84D59">
              <w:t>17. If I make a comment about someone’s body, he/she should take that as a compliment.</w:t>
            </w:r>
          </w:p>
        </w:tc>
        <w:tc>
          <w:tcPr>
            <w:tcW w:w="531" w:type="dxa"/>
            <w:tcBorders>
              <w:top w:val="nil"/>
              <w:left w:val="nil"/>
              <w:bottom w:val="nil"/>
              <w:right w:val="nil"/>
            </w:tcBorders>
            <w:shd w:val="clear" w:color="auto" w:fill="auto"/>
            <w:noWrap/>
            <w:vAlign w:val="bottom"/>
          </w:tcPr>
          <w:p w14:paraId="147610A2" w14:textId="77777777" w:rsidR="003C6938" w:rsidRPr="00E84D59" w:rsidRDefault="003C6938" w:rsidP="003C6938">
            <w:pPr>
              <w:jc w:val="center"/>
              <w:rPr>
                <w:b/>
              </w:rPr>
            </w:pPr>
            <w:r w:rsidRPr="00E84D59">
              <w:rPr>
                <w:b/>
              </w:rPr>
              <w:t>-</w:t>
            </w:r>
          </w:p>
        </w:tc>
        <w:tc>
          <w:tcPr>
            <w:tcW w:w="531" w:type="dxa"/>
            <w:tcBorders>
              <w:top w:val="nil"/>
              <w:left w:val="nil"/>
              <w:bottom w:val="nil"/>
              <w:right w:val="nil"/>
            </w:tcBorders>
            <w:shd w:val="clear" w:color="auto" w:fill="auto"/>
            <w:noWrap/>
            <w:vAlign w:val="bottom"/>
          </w:tcPr>
          <w:p w14:paraId="1068D904" w14:textId="77777777" w:rsidR="003C6938" w:rsidRPr="00E84D59" w:rsidRDefault="003C6938" w:rsidP="003C6938">
            <w:pPr>
              <w:jc w:val="center"/>
            </w:pPr>
            <w:r w:rsidRPr="00E84D59">
              <w:t>-</w:t>
            </w:r>
          </w:p>
        </w:tc>
        <w:tc>
          <w:tcPr>
            <w:tcW w:w="616" w:type="dxa"/>
            <w:tcBorders>
              <w:top w:val="nil"/>
              <w:left w:val="nil"/>
              <w:bottom w:val="nil"/>
              <w:right w:val="nil"/>
            </w:tcBorders>
            <w:shd w:val="clear" w:color="auto" w:fill="auto"/>
            <w:noWrap/>
            <w:vAlign w:val="bottom"/>
          </w:tcPr>
          <w:p w14:paraId="215A30D7" w14:textId="77777777" w:rsidR="003C6938" w:rsidRPr="00E84D59" w:rsidRDefault="003C6938" w:rsidP="003C6938">
            <w:pPr>
              <w:jc w:val="center"/>
              <w:rPr>
                <w:b/>
              </w:rPr>
            </w:pPr>
            <w:r w:rsidRPr="00E84D59">
              <w:rPr>
                <w:b/>
              </w:rPr>
              <w:t>.6</w:t>
            </w:r>
            <w:r>
              <w:rPr>
                <w:b/>
              </w:rPr>
              <w:t>5</w:t>
            </w:r>
          </w:p>
        </w:tc>
        <w:tc>
          <w:tcPr>
            <w:tcW w:w="536" w:type="dxa"/>
            <w:tcBorders>
              <w:top w:val="nil"/>
              <w:left w:val="nil"/>
              <w:bottom w:val="nil"/>
              <w:right w:val="nil"/>
            </w:tcBorders>
            <w:shd w:val="clear" w:color="auto" w:fill="auto"/>
            <w:noWrap/>
            <w:vAlign w:val="bottom"/>
          </w:tcPr>
          <w:p w14:paraId="1C107F66" w14:textId="77777777" w:rsidR="003C6938" w:rsidRPr="00E84D59" w:rsidRDefault="003C6938" w:rsidP="003C6938">
            <w:pPr>
              <w:jc w:val="center"/>
            </w:pPr>
            <w:r w:rsidRPr="00E84D59">
              <w:t>.04</w:t>
            </w:r>
          </w:p>
        </w:tc>
        <w:tc>
          <w:tcPr>
            <w:tcW w:w="236" w:type="dxa"/>
            <w:tcBorders>
              <w:top w:val="nil"/>
              <w:left w:val="nil"/>
              <w:bottom w:val="nil"/>
              <w:right w:val="nil"/>
            </w:tcBorders>
          </w:tcPr>
          <w:p w14:paraId="3FF436FC" w14:textId="77777777" w:rsidR="003C6938" w:rsidRPr="00E84D59" w:rsidRDefault="003C6938" w:rsidP="003C6938">
            <w:pPr>
              <w:jc w:val="center"/>
              <w:rPr>
                <w:i/>
              </w:rPr>
            </w:pPr>
          </w:p>
        </w:tc>
        <w:tc>
          <w:tcPr>
            <w:tcW w:w="531" w:type="dxa"/>
            <w:gridSpan w:val="2"/>
            <w:tcBorders>
              <w:top w:val="nil"/>
              <w:left w:val="nil"/>
              <w:bottom w:val="nil"/>
              <w:right w:val="nil"/>
            </w:tcBorders>
            <w:shd w:val="clear" w:color="auto" w:fill="auto"/>
            <w:noWrap/>
            <w:vAlign w:val="bottom"/>
          </w:tcPr>
          <w:p w14:paraId="16EE2D9A" w14:textId="77777777" w:rsidR="003C6938" w:rsidRPr="00E84D59" w:rsidRDefault="003C6938" w:rsidP="003C6938">
            <w:pPr>
              <w:jc w:val="center"/>
              <w:rPr>
                <w:i/>
              </w:rPr>
            </w:pPr>
            <w:r w:rsidRPr="00E84D59">
              <w:rPr>
                <w:i/>
              </w:rPr>
              <w:t>-</w:t>
            </w:r>
          </w:p>
        </w:tc>
        <w:tc>
          <w:tcPr>
            <w:tcW w:w="568" w:type="dxa"/>
            <w:tcBorders>
              <w:top w:val="nil"/>
              <w:left w:val="nil"/>
              <w:bottom w:val="nil"/>
              <w:right w:val="nil"/>
            </w:tcBorders>
            <w:shd w:val="clear" w:color="auto" w:fill="auto"/>
            <w:noWrap/>
            <w:vAlign w:val="bottom"/>
          </w:tcPr>
          <w:p w14:paraId="4A582E6F" w14:textId="77777777" w:rsidR="003C6938" w:rsidRPr="00E84D59" w:rsidRDefault="003C6938" w:rsidP="003C6938">
            <w:pPr>
              <w:jc w:val="center"/>
            </w:pPr>
            <w:r w:rsidRPr="00E84D59">
              <w:t>-</w:t>
            </w:r>
          </w:p>
        </w:tc>
        <w:tc>
          <w:tcPr>
            <w:tcW w:w="616" w:type="dxa"/>
            <w:tcBorders>
              <w:left w:val="nil"/>
              <w:right w:val="nil"/>
            </w:tcBorders>
          </w:tcPr>
          <w:p w14:paraId="33FA28B9" w14:textId="77777777" w:rsidR="003C6938" w:rsidRPr="00E84D59" w:rsidRDefault="003C6938" w:rsidP="003C6938">
            <w:pPr>
              <w:jc w:val="center"/>
              <w:rPr>
                <w:b/>
              </w:rPr>
            </w:pPr>
            <w:r w:rsidRPr="00E84D59">
              <w:rPr>
                <w:b/>
              </w:rPr>
              <w:t>.57</w:t>
            </w:r>
          </w:p>
        </w:tc>
        <w:tc>
          <w:tcPr>
            <w:tcW w:w="531" w:type="dxa"/>
            <w:tcBorders>
              <w:left w:val="nil"/>
              <w:right w:val="nil"/>
            </w:tcBorders>
          </w:tcPr>
          <w:p w14:paraId="1EF9173A" w14:textId="77777777" w:rsidR="003C6938" w:rsidRPr="00E84D59" w:rsidRDefault="003C6938" w:rsidP="003C6938">
            <w:pPr>
              <w:jc w:val="center"/>
            </w:pPr>
            <w:r w:rsidRPr="00E84D59">
              <w:t>.04</w:t>
            </w:r>
          </w:p>
        </w:tc>
      </w:tr>
      <w:tr w:rsidR="003C6938" w:rsidRPr="00E84D59" w14:paraId="3B60CC78"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024F8CE0" w14:textId="77777777" w:rsidR="003C6938" w:rsidRPr="00E84D59" w:rsidRDefault="003C6938" w:rsidP="003C6938">
            <w:r w:rsidRPr="00E84D59">
              <w:t>1</w:t>
            </w:r>
            <w:r>
              <w:t>8</w:t>
            </w:r>
            <w:r w:rsidRPr="00E84D59">
              <w:t>. People are worth more than just their physical appearance.</w:t>
            </w:r>
          </w:p>
        </w:tc>
        <w:tc>
          <w:tcPr>
            <w:tcW w:w="531" w:type="dxa"/>
            <w:tcBorders>
              <w:top w:val="nil"/>
              <w:left w:val="nil"/>
              <w:bottom w:val="nil"/>
              <w:right w:val="nil"/>
            </w:tcBorders>
            <w:shd w:val="clear" w:color="auto" w:fill="auto"/>
            <w:noWrap/>
            <w:vAlign w:val="bottom"/>
          </w:tcPr>
          <w:p w14:paraId="40DC287E" w14:textId="77777777" w:rsidR="003C6938" w:rsidRPr="00E84D59" w:rsidRDefault="003C6938" w:rsidP="003C6938">
            <w:pPr>
              <w:jc w:val="center"/>
              <w:rPr>
                <w:b/>
              </w:rPr>
            </w:pPr>
            <w:r w:rsidRPr="00E84D59">
              <w:rPr>
                <w:b/>
              </w:rPr>
              <w:t>-</w:t>
            </w:r>
          </w:p>
        </w:tc>
        <w:tc>
          <w:tcPr>
            <w:tcW w:w="531" w:type="dxa"/>
            <w:tcBorders>
              <w:top w:val="nil"/>
              <w:left w:val="nil"/>
              <w:bottom w:val="nil"/>
              <w:right w:val="nil"/>
            </w:tcBorders>
            <w:shd w:val="clear" w:color="auto" w:fill="auto"/>
            <w:noWrap/>
            <w:vAlign w:val="bottom"/>
          </w:tcPr>
          <w:p w14:paraId="590A4FAD" w14:textId="77777777" w:rsidR="003C6938" w:rsidRPr="00E84D59" w:rsidRDefault="003C6938" w:rsidP="003C6938">
            <w:pPr>
              <w:jc w:val="center"/>
            </w:pPr>
            <w:r w:rsidRPr="00E84D59">
              <w:t>-</w:t>
            </w:r>
          </w:p>
        </w:tc>
        <w:tc>
          <w:tcPr>
            <w:tcW w:w="616" w:type="dxa"/>
            <w:tcBorders>
              <w:top w:val="nil"/>
              <w:left w:val="nil"/>
              <w:bottom w:val="nil"/>
              <w:right w:val="nil"/>
            </w:tcBorders>
            <w:shd w:val="clear" w:color="auto" w:fill="auto"/>
            <w:noWrap/>
            <w:vAlign w:val="bottom"/>
          </w:tcPr>
          <w:p w14:paraId="7B9F91E3" w14:textId="77777777" w:rsidR="003C6938" w:rsidRPr="00E84D59" w:rsidRDefault="003C6938" w:rsidP="003C6938">
            <w:pPr>
              <w:jc w:val="center"/>
              <w:rPr>
                <w:b/>
              </w:rPr>
            </w:pPr>
            <w:r w:rsidRPr="00E84D59">
              <w:rPr>
                <w:b/>
              </w:rPr>
              <w:t>-.</w:t>
            </w:r>
            <w:r>
              <w:rPr>
                <w:b/>
              </w:rPr>
              <w:t>46</w:t>
            </w:r>
          </w:p>
        </w:tc>
        <w:tc>
          <w:tcPr>
            <w:tcW w:w="536" w:type="dxa"/>
            <w:tcBorders>
              <w:top w:val="nil"/>
              <w:left w:val="nil"/>
              <w:bottom w:val="nil"/>
              <w:right w:val="nil"/>
            </w:tcBorders>
            <w:shd w:val="clear" w:color="auto" w:fill="auto"/>
            <w:noWrap/>
            <w:vAlign w:val="bottom"/>
          </w:tcPr>
          <w:p w14:paraId="33AC9CD7" w14:textId="77777777" w:rsidR="003C6938" w:rsidRPr="00E84D59" w:rsidRDefault="003C6938" w:rsidP="003C6938">
            <w:pPr>
              <w:jc w:val="center"/>
            </w:pPr>
            <w:r w:rsidRPr="00E84D59">
              <w:t>.0</w:t>
            </w:r>
            <w:r>
              <w:t>5</w:t>
            </w:r>
          </w:p>
        </w:tc>
        <w:tc>
          <w:tcPr>
            <w:tcW w:w="236" w:type="dxa"/>
            <w:tcBorders>
              <w:top w:val="nil"/>
              <w:left w:val="nil"/>
              <w:bottom w:val="nil"/>
              <w:right w:val="nil"/>
            </w:tcBorders>
          </w:tcPr>
          <w:p w14:paraId="0009A2D3" w14:textId="77777777" w:rsidR="003C6938" w:rsidRPr="00E84D59" w:rsidRDefault="003C6938" w:rsidP="003C6938">
            <w:pPr>
              <w:jc w:val="center"/>
            </w:pPr>
          </w:p>
        </w:tc>
        <w:tc>
          <w:tcPr>
            <w:tcW w:w="531" w:type="dxa"/>
            <w:gridSpan w:val="2"/>
            <w:tcBorders>
              <w:top w:val="nil"/>
              <w:left w:val="nil"/>
              <w:bottom w:val="nil"/>
              <w:right w:val="nil"/>
            </w:tcBorders>
            <w:shd w:val="clear" w:color="auto" w:fill="auto"/>
            <w:noWrap/>
            <w:vAlign w:val="bottom"/>
          </w:tcPr>
          <w:p w14:paraId="0CB82D68" w14:textId="77777777" w:rsidR="003C6938" w:rsidRPr="00E84D59" w:rsidRDefault="003C6938" w:rsidP="003C6938">
            <w:pPr>
              <w:jc w:val="center"/>
            </w:pPr>
            <w:r w:rsidRPr="00E84D59">
              <w:t>-</w:t>
            </w:r>
          </w:p>
        </w:tc>
        <w:tc>
          <w:tcPr>
            <w:tcW w:w="568" w:type="dxa"/>
            <w:tcBorders>
              <w:top w:val="nil"/>
              <w:left w:val="nil"/>
              <w:bottom w:val="nil"/>
              <w:right w:val="nil"/>
            </w:tcBorders>
            <w:shd w:val="clear" w:color="auto" w:fill="auto"/>
            <w:noWrap/>
            <w:vAlign w:val="bottom"/>
          </w:tcPr>
          <w:p w14:paraId="10B29D77" w14:textId="77777777" w:rsidR="003C6938" w:rsidRPr="00E84D59" w:rsidRDefault="003C6938" w:rsidP="003C6938">
            <w:pPr>
              <w:jc w:val="center"/>
            </w:pPr>
            <w:r w:rsidRPr="00E84D59">
              <w:t>-</w:t>
            </w:r>
          </w:p>
        </w:tc>
        <w:tc>
          <w:tcPr>
            <w:tcW w:w="616" w:type="dxa"/>
            <w:tcBorders>
              <w:left w:val="nil"/>
              <w:right w:val="nil"/>
            </w:tcBorders>
          </w:tcPr>
          <w:p w14:paraId="2F4FA595" w14:textId="77777777" w:rsidR="003C6938" w:rsidRPr="00E84D59" w:rsidRDefault="003C6938" w:rsidP="003C6938">
            <w:pPr>
              <w:jc w:val="center"/>
              <w:rPr>
                <w:b/>
              </w:rPr>
            </w:pPr>
            <w:r w:rsidRPr="00E84D59">
              <w:rPr>
                <w:b/>
              </w:rPr>
              <w:t>-.67</w:t>
            </w:r>
          </w:p>
        </w:tc>
        <w:tc>
          <w:tcPr>
            <w:tcW w:w="531" w:type="dxa"/>
            <w:tcBorders>
              <w:left w:val="nil"/>
              <w:right w:val="nil"/>
            </w:tcBorders>
          </w:tcPr>
          <w:p w14:paraId="1D901420" w14:textId="77777777" w:rsidR="003C6938" w:rsidRPr="00E84D59" w:rsidRDefault="003C6938" w:rsidP="003C6938">
            <w:pPr>
              <w:jc w:val="center"/>
            </w:pPr>
            <w:r w:rsidRPr="00E84D59">
              <w:t>.04</w:t>
            </w:r>
          </w:p>
        </w:tc>
      </w:tr>
      <w:tr w:rsidR="003C6938" w:rsidRPr="00E84D59" w14:paraId="7CD2CB6F"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0B90DDF4" w14:textId="77777777" w:rsidR="003C6938" w:rsidRPr="00E84D59" w:rsidRDefault="003C6938" w:rsidP="003C6938">
            <w:pPr>
              <w:rPr>
                <w:rFonts w:eastAsia="Arial"/>
              </w:rPr>
            </w:pPr>
            <w:r>
              <w:t>19</w:t>
            </w:r>
            <w:r w:rsidRPr="00E84D59">
              <w:t>. People who get offended at catcalls are just too uptight.</w:t>
            </w:r>
          </w:p>
        </w:tc>
        <w:tc>
          <w:tcPr>
            <w:tcW w:w="531" w:type="dxa"/>
            <w:tcBorders>
              <w:top w:val="nil"/>
              <w:left w:val="nil"/>
              <w:bottom w:val="nil"/>
              <w:right w:val="nil"/>
            </w:tcBorders>
            <w:shd w:val="clear" w:color="auto" w:fill="auto"/>
            <w:noWrap/>
            <w:vAlign w:val="bottom"/>
          </w:tcPr>
          <w:p w14:paraId="4F9FA29F" w14:textId="77777777" w:rsidR="003C6938" w:rsidRPr="00E84D59" w:rsidRDefault="003C6938" w:rsidP="003C6938">
            <w:pPr>
              <w:jc w:val="center"/>
              <w:rPr>
                <w:b/>
              </w:rPr>
            </w:pPr>
            <w:r w:rsidRPr="00E84D59">
              <w:rPr>
                <w:b/>
              </w:rPr>
              <w:t>-</w:t>
            </w:r>
          </w:p>
        </w:tc>
        <w:tc>
          <w:tcPr>
            <w:tcW w:w="531" w:type="dxa"/>
            <w:tcBorders>
              <w:top w:val="nil"/>
              <w:left w:val="nil"/>
              <w:bottom w:val="nil"/>
              <w:right w:val="nil"/>
            </w:tcBorders>
            <w:shd w:val="clear" w:color="auto" w:fill="auto"/>
            <w:noWrap/>
            <w:vAlign w:val="bottom"/>
          </w:tcPr>
          <w:p w14:paraId="3A2E8474" w14:textId="77777777" w:rsidR="003C6938" w:rsidRPr="00E84D59" w:rsidRDefault="003C6938" w:rsidP="003C6938">
            <w:pPr>
              <w:jc w:val="center"/>
            </w:pPr>
            <w:r w:rsidRPr="00E84D59">
              <w:t>-</w:t>
            </w:r>
          </w:p>
        </w:tc>
        <w:tc>
          <w:tcPr>
            <w:tcW w:w="616" w:type="dxa"/>
            <w:tcBorders>
              <w:top w:val="nil"/>
              <w:left w:val="nil"/>
              <w:bottom w:val="nil"/>
              <w:right w:val="nil"/>
            </w:tcBorders>
            <w:shd w:val="clear" w:color="auto" w:fill="auto"/>
            <w:noWrap/>
            <w:vAlign w:val="bottom"/>
          </w:tcPr>
          <w:p w14:paraId="259C360D" w14:textId="77777777" w:rsidR="003C6938" w:rsidRPr="00E84D59" w:rsidRDefault="003C6938" w:rsidP="003C6938">
            <w:pPr>
              <w:jc w:val="center"/>
              <w:rPr>
                <w:b/>
              </w:rPr>
            </w:pPr>
            <w:r w:rsidRPr="00E84D59">
              <w:rPr>
                <w:b/>
              </w:rPr>
              <w:t>.8</w:t>
            </w:r>
            <w:r>
              <w:rPr>
                <w:b/>
              </w:rPr>
              <w:t>9</w:t>
            </w:r>
          </w:p>
        </w:tc>
        <w:tc>
          <w:tcPr>
            <w:tcW w:w="536" w:type="dxa"/>
            <w:tcBorders>
              <w:top w:val="nil"/>
              <w:left w:val="nil"/>
              <w:bottom w:val="nil"/>
              <w:right w:val="nil"/>
            </w:tcBorders>
            <w:shd w:val="clear" w:color="auto" w:fill="auto"/>
            <w:noWrap/>
            <w:vAlign w:val="bottom"/>
          </w:tcPr>
          <w:p w14:paraId="74D25761" w14:textId="77777777" w:rsidR="003C6938" w:rsidRPr="00E84D59" w:rsidRDefault="003C6938" w:rsidP="003C6938">
            <w:pPr>
              <w:jc w:val="center"/>
            </w:pPr>
            <w:r w:rsidRPr="00E84D59">
              <w:t>.02</w:t>
            </w:r>
          </w:p>
        </w:tc>
        <w:tc>
          <w:tcPr>
            <w:tcW w:w="236" w:type="dxa"/>
            <w:tcBorders>
              <w:top w:val="nil"/>
              <w:left w:val="nil"/>
              <w:bottom w:val="nil"/>
              <w:right w:val="nil"/>
            </w:tcBorders>
          </w:tcPr>
          <w:p w14:paraId="446F0918" w14:textId="77777777" w:rsidR="003C6938" w:rsidRPr="00E84D59" w:rsidRDefault="003C6938" w:rsidP="003C6938">
            <w:pPr>
              <w:jc w:val="center"/>
            </w:pPr>
          </w:p>
        </w:tc>
        <w:tc>
          <w:tcPr>
            <w:tcW w:w="531" w:type="dxa"/>
            <w:gridSpan w:val="2"/>
            <w:tcBorders>
              <w:top w:val="nil"/>
              <w:left w:val="nil"/>
              <w:bottom w:val="nil"/>
              <w:right w:val="nil"/>
            </w:tcBorders>
            <w:shd w:val="clear" w:color="auto" w:fill="auto"/>
            <w:noWrap/>
            <w:vAlign w:val="bottom"/>
          </w:tcPr>
          <w:p w14:paraId="72BCA413" w14:textId="77777777" w:rsidR="003C6938" w:rsidRPr="00E84D59" w:rsidRDefault="003C6938" w:rsidP="003C6938">
            <w:pPr>
              <w:jc w:val="center"/>
            </w:pPr>
            <w:r w:rsidRPr="00E84D59">
              <w:t>-</w:t>
            </w:r>
          </w:p>
        </w:tc>
        <w:tc>
          <w:tcPr>
            <w:tcW w:w="568" w:type="dxa"/>
            <w:tcBorders>
              <w:top w:val="nil"/>
              <w:left w:val="nil"/>
              <w:bottom w:val="nil"/>
              <w:right w:val="nil"/>
            </w:tcBorders>
            <w:shd w:val="clear" w:color="auto" w:fill="auto"/>
            <w:noWrap/>
            <w:vAlign w:val="bottom"/>
          </w:tcPr>
          <w:p w14:paraId="49EF5C3F" w14:textId="77777777" w:rsidR="003C6938" w:rsidRPr="00E84D59" w:rsidRDefault="003C6938" w:rsidP="003C6938">
            <w:pPr>
              <w:jc w:val="center"/>
            </w:pPr>
            <w:r w:rsidRPr="00E84D59">
              <w:t>-</w:t>
            </w:r>
          </w:p>
        </w:tc>
        <w:tc>
          <w:tcPr>
            <w:tcW w:w="616" w:type="dxa"/>
            <w:tcBorders>
              <w:left w:val="nil"/>
              <w:right w:val="nil"/>
            </w:tcBorders>
          </w:tcPr>
          <w:p w14:paraId="7EB2B3BA" w14:textId="77777777" w:rsidR="003C6938" w:rsidRPr="00E84D59" w:rsidRDefault="003C6938" w:rsidP="003C6938">
            <w:pPr>
              <w:jc w:val="center"/>
              <w:rPr>
                <w:b/>
              </w:rPr>
            </w:pPr>
            <w:r w:rsidRPr="00E84D59">
              <w:rPr>
                <w:b/>
              </w:rPr>
              <w:t>.8</w:t>
            </w:r>
            <w:r>
              <w:rPr>
                <w:b/>
              </w:rPr>
              <w:t>1</w:t>
            </w:r>
          </w:p>
        </w:tc>
        <w:tc>
          <w:tcPr>
            <w:tcW w:w="531" w:type="dxa"/>
            <w:tcBorders>
              <w:left w:val="nil"/>
              <w:right w:val="nil"/>
            </w:tcBorders>
          </w:tcPr>
          <w:p w14:paraId="28A5D46B" w14:textId="77777777" w:rsidR="003C6938" w:rsidRPr="00E84D59" w:rsidRDefault="003C6938" w:rsidP="003C6938">
            <w:pPr>
              <w:jc w:val="center"/>
            </w:pPr>
            <w:r w:rsidRPr="00E84D59">
              <w:t>.03</w:t>
            </w:r>
          </w:p>
        </w:tc>
      </w:tr>
      <w:tr w:rsidR="003C6938" w:rsidRPr="00E84D59" w14:paraId="440860C8"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3DD354DD" w14:textId="77777777" w:rsidR="003C6938" w:rsidRPr="00E84D59" w:rsidRDefault="003C6938" w:rsidP="003C6938">
            <w:pPr>
              <w:rPr>
                <w:rFonts w:eastAsia="Arial"/>
              </w:rPr>
            </w:pPr>
            <w:r w:rsidRPr="00E84D59">
              <w:t>2</w:t>
            </w:r>
            <w:r>
              <w:t>0</w:t>
            </w:r>
            <w:r w:rsidRPr="00E84D59">
              <w:t>. The value of most people can be judged by just looking at them.</w:t>
            </w:r>
          </w:p>
        </w:tc>
        <w:tc>
          <w:tcPr>
            <w:tcW w:w="531" w:type="dxa"/>
            <w:tcBorders>
              <w:top w:val="nil"/>
              <w:left w:val="nil"/>
              <w:bottom w:val="nil"/>
              <w:right w:val="nil"/>
            </w:tcBorders>
            <w:shd w:val="clear" w:color="auto" w:fill="auto"/>
            <w:noWrap/>
            <w:vAlign w:val="bottom"/>
          </w:tcPr>
          <w:p w14:paraId="6F6B7FB8" w14:textId="77777777" w:rsidR="003C6938" w:rsidRPr="00E84D59" w:rsidRDefault="003C6938" w:rsidP="003C6938">
            <w:pPr>
              <w:jc w:val="center"/>
            </w:pPr>
            <w:r w:rsidRPr="00E84D59">
              <w:t>-</w:t>
            </w:r>
          </w:p>
        </w:tc>
        <w:tc>
          <w:tcPr>
            <w:tcW w:w="531" w:type="dxa"/>
            <w:tcBorders>
              <w:top w:val="nil"/>
              <w:left w:val="nil"/>
              <w:bottom w:val="nil"/>
              <w:right w:val="nil"/>
            </w:tcBorders>
            <w:shd w:val="clear" w:color="auto" w:fill="auto"/>
            <w:noWrap/>
            <w:vAlign w:val="bottom"/>
          </w:tcPr>
          <w:p w14:paraId="0A0FA318" w14:textId="77777777" w:rsidR="003C6938" w:rsidRPr="00E84D59" w:rsidRDefault="003C6938" w:rsidP="003C6938">
            <w:pPr>
              <w:jc w:val="center"/>
            </w:pPr>
            <w:r w:rsidRPr="00E84D59">
              <w:t>-</w:t>
            </w:r>
          </w:p>
        </w:tc>
        <w:tc>
          <w:tcPr>
            <w:tcW w:w="616" w:type="dxa"/>
            <w:tcBorders>
              <w:top w:val="nil"/>
              <w:left w:val="nil"/>
              <w:bottom w:val="nil"/>
              <w:right w:val="nil"/>
            </w:tcBorders>
            <w:shd w:val="clear" w:color="auto" w:fill="auto"/>
            <w:noWrap/>
            <w:vAlign w:val="bottom"/>
          </w:tcPr>
          <w:p w14:paraId="14F07CE7" w14:textId="77777777" w:rsidR="003C6938" w:rsidRPr="00E84D59" w:rsidRDefault="003C6938" w:rsidP="003C6938">
            <w:pPr>
              <w:jc w:val="center"/>
              <w:rPr>
                <w:b/>
              </w:rPr>
            </w:pPr>
            <w:r w:rsidRPr="00E84D59">
              <w:rPr>
                <w:b/>
              </w:rPr>
              <w:t>.8</w:t>
            </w:r>
            <w:r>
              <w:rPr>
                <w:b/>
              </w:rPr>
              <w:t>7</w:t>
            </w:r>
          </w:p>
        </w:tc>
        <w:tc>
          <w:tcPr>
            <w:tcW w:w="536" w:type="dxa"/>
            <w:tcBorders>
              <w:top w:val="nil"/>
              <w:left w:val="nil"/>
              <w:bottom w:val="nil"/>
              <w:right w:val="nil"/>
            </w:tcBorders>
            <w:shd w:val="clear" w:color="auto" w:fill="auto"/>
            <w:noWrap/>
            <w:vAlign w:val="bottom"/>
          </w:tcPr>
          <w:p w14:paraId="68F471B2" w14:textId="77777777" w:rsidR="003C6938" w:rsidRPr="00E84D59" w:rsidRDefault="003C6938" w:rsidP="003C6938">
            <w:pPr>
              <w:jc w:val="center"/>
            </w:pPr>
            <w:r w:rsidRPr="00E84D59">
              <w:t>.0</w:t>
            </w:r>
            <w:r>
              <w:t>3</w:t>
            </w:r>
          </w:p>
        </w:tc>
        <w:tc>
          <w:tcPr>
            <w:tcW w:w="236" w:type="dxa"/>
            <w:tcBorders>
              <w:top w:val="nil"/>
              <w:left w:val="nil"/>
              <w:bottom w:val="nil"/>
              <w:right w:val="nil"/>
            </w:tcBorders>
          </w:tcPr>
          <w:p w14:paraId="04BABA52" w14:textId="77777777" w:rsidR="003C6938" w:rsidRPr="00E84D59" w:rsidRDefault="003C6938" w:rsidP="003C6938">
            <w:pPr>
              <w:jc w:val="center"/>
            </w:pPr>
          </w:p>
        </w:tc>
        <w:tc>
          <w:tcPr>
            <w:tcW w:w="531" w:type="dxa"/>
            <w:gridSpan w:val="2"/>
            <w:tcBorders>
              <w:top w:val="nil"/>
              <w:left w:val="nil"/>
              <w:bottom w:val="nil"/>
              <w:right w:val="nil"/>
            </w:tcBorders>
            <w:shd w:val="clear" w:color="auto" w:fill="auto"/>
            <w:noWrap/>
            <w:vAlign w:val="bottom"/>
          </w:tcPr>
          <w:p w14:paraId="0A8A8A8C" w14:textId="77777777" w:rsidR="003C6938" w:rsidRPr="00E84D59" w:rsidRDefault="003C6938" w:rsidP="003C6938">
            <w:pPr>
              <w:jc w:val="center"/>
            </w:pPr>
            <w:r w:rsidRPr="00E84D59">
              <w:t>-</w:t>
            </w:r>
          </w:p>
        </w:tc>
        <w:tc>
          <w:tcPr>
            <w:tcW w:w="568" w:type="dxa"/>
            <w:tcBorders>
              <w:top w:val="nil"/>
              <w:left w:val="nil"/>
              <w:bottom w:val="nil"/>
              <w:right w:val="nil"/>
            </w:tcBorders>
            <w:shd w:val="clear" w:color="auto" w:fill="auto"/>
            <w:noWrap/>
            <w:vAlign w:val="bottom"/>
          </w:tcPr>
          <w:p w14:paraId="7FF1DD85" w14:textId="77777777" w:rsidR="003C6938" w:rsidRPr="00E84D59" w:rsidRDefault="003C6938" w:rsidP="003C6938">
            <w:pPr>
              <w:jc w:val="center"/>
            </w:pPr>
            <w:r w:rsidRPr="00E84D59">
              <w:t>-</w:t>
            </w:r>
          </w:p>
        </w:tc>
        <w:tc>
          <w:tcPr>
            <w:tcW w:w="616" w:type="dxa"/>
            <w:tcBorders>
              <w:left w:val="nil"/>
              <w:right w:val="nil"/>
            </w:tcBorders>
          </w:tcPr>
          <w:p w14:paraId="7CCC2E26" w14:textId="77777777" w:rsidR="003C6938" w:rsidRPr="00E84D59" w:rsidRDefault="003C6938" w:rsidP="003C6938">
            <w:pPr>
              <w:jc w:val="center"/>
              <w:rPr>
                <w:b/>
              </w:rPr>
            </w:pPr>
            <w:r w:rsidRPr="00E84D59">
              <w:rPr>
                <w:b/>
              </w:rPr>
              <w:t>.7</w:t>
            </w:r>
            <w:r>
              <w:rPr>
                <w:b/>
              </w:rPr>
              <w:t>2</w:t>
            </w:r>
          </w:p>
        </w:tc>
        <w:tc>
          <w:tcPr>
            <w:tcW w:w="531" w:type="dxa"/>
            <w:tcBorders>
              <w:left w:val="nil"/>
              <w:right w:val="nil"/>
            </w:tcBorders>
          </w:tcPr>
          <w:p w14:paraId="40136B4E" w14:textId="77777777" w:rsidR="003C6938" w:rsidRPr="00E84D59" w:rsidRDefault="003C6938" w:rsidP="003C6938">
            <w:pPr>
              <w:jc w:val="center"/>
            </w:pPr>
            <w:r w:rsidRPr="00E84D59">
              <w:t>.0</w:t>
            </w:r>
            <w:r>
              <w:t>4</w:t>
            </w:r>
          </w:p>
        </w:tc>
      </w:tr>
      <w:tr w:rsidR="003C6938" w:rsidRPr="00E84D59" w14:paraId="4A8E6436" w14:textId="77777777" w:rsidTr="003C6938">
        <w:trPr>
          <w:gridAfter w:val="1"/>
          <w:wAfter w:w="10" w:type="dxa"/>
          <w:trHeight w:val="304"/>
        </w:trPr>
        <w:tc>
          <w:tcPr>
            <w:tcW w:w="9041" w:type="dxa"/>
            <w:tcBorders>
              <w:top w:val="nil"/>
              <w:left w:val="nil"/>
              <w:bottom w:val="nil"/>
              <w:right w:val="nil"/>
            </w:tcBorders>
            <w:shd w:val="clear" w:color="auto" w:fill="auto"/>
            <w:noWrap/>
            <w:hideMark/>
          </w:tcPr>
          <w:p w14:paraId="1075C382" w14:textId="77777777" w:rsidR="003C6938" w:rsidRPr="00E84D59" w:rsidRDefault="003C6938" w:rsidP="003C6938">
            <w:pPr>
              <w:rPr>
                <w:rFonts w:eastAsia="Arial"/>
              </w:rPr>
            </w:pPr>
            <w:r w:rsidRPr="00E84D59">
              <w:t>2</w:t>
            </w:r>
            <w:r>
              <w:t>1</w:t>
            </w:r>
            <w:r w:rsidRPr="00E84D59">
              <w:t>. People who wear revealing clothes are asking to be stared at.</w:t>
            </w:r>
          </w:p>
        </w:tc>
        <w:tc>
          <w:tcPr>
            <w:tcW w:w="531" w:type="dxa"/>
            <w:tcBorders>
              <w:top w:val="nil"/>
              <w:left w:val="nil"/>
              <w:bottom w:val="nil"/>
              <w:right w:val="nil"/>
            </w:tcBorders>
            <w:shd w:val="clear" w:color="auto" w:fill="auto"/>
            <w:noWrap/>
            <w:vAlign w:val="bottom"/>
          </w:tcPr>
          <w:p w14:paraId="10DA0674" w14:textId="77777777" w:rsidR="003C6938" w:rsidRPr="00E84D59" w:rsidRDefault="003C6938" w:rsidP="003C6938">
            <w:pPr>
              <w:jc w:val="center"/>
            </w:pPr>
            <w:r w:rsidRPr="00E84D59">
              <w:t>-</w:t>
            </w:r>
          </w:p>
        </w:tc>
        <w:tc>
          <w:tcPr>
            <w:tcW w:w="531" w:type="dxa"/>
            <w:tcBorders>
              <w:top w:val="nil"/>
              <w:left w:val="nil"/>
              <w:bottom w:val="nil"/>
              <w:right w:val="nil"/>
            </w:tcBorders>
            <w:shd w:val="clear" w:color="auto" w:fill="auto"/>
            <w:noWrap/>
            <w:vAlign w:val="bottom"/>
          </w:tcPr>
          <w:p w14:paraId="17365AC6" w14:textId="77777777" w:rsidR="003C6938" w:rsidRPr="00E84D59" w:rsidRDefault="003C6938" w:rsidP="003C6938">
            <w:pPr>
              <w:jc w:val="center"/>
            </w:pPr>
            <w:r w:rsidRPr="00E84D59">
              <w:t>-</w:t>
            </w:r>
          </w:p>
        </w:tc>
        <w:tc>
          <w:tcPr>
            <w:tcW w:w="616" w:type="dxa"/>
            <w:tcBorders>
              <w:top w:val="nil"/>
              <w:left w:val="nil"/>
              <w:bottom w:val="nil"/>
              <w:right w:val="nil"/>
            </w:tcBorders>
            <w:shd w:val="clear" w:color="auto" w:fill="auto"/>
            <w:noWrap/>
            <w:vAlign w:val="bottom"/>
          </w:tcPr>
          <w:p w14:paraId="1B450E1C" w14:textId="77777777" w:rsidR="003C6938" w:rsidRPr="00E84D59" w:rsidRDefault="003C6938" w:rsidP="003C6938">
            <w:pPr>
              <w:jc w:val="center"/>
              <w:rPr>
                <w:b/>
              </w:rPr>
            </w:pPr>
            <w:r w:rsidRPr="00E84D59">
              <w:rPr>
                <w:b/>
              </w:rPr>
              <w:t>.</w:t>
            </w:r>
            <w:r>
              <w:rPr>
                <w:b/>
              </w:rPr>
              <w:t>60</w:t>
            </w:r>
          </w:p>
        </w:tc>
        <w:tc>
          <w:tcPr>
            <w:tcW w:w="536" w:type="dxa"/>
            <w:tcBorders>
              <w:top w:val="nil"/>
              <w:left w:val="nil"/>
              <w:bottom w:val="nil"/>
              <w:right w:val="nil"/>
            </w:tcBorders>
            <w:shd w:val="clear" w:color="auto" w:fill="auto"/>
            <w:noWrap/>
            <w:vAlign w:val="bottom"/>
          </w:tcPr>
          <w:p w14:paraId="433B1A25" w14:textId="77777777" w:rsidR="003C6938" w:rsidRPr="00E84D59" w:rsidRDefault="003C6938" w:rsidP="003C6938">
            <w:pPr>
              <w:jc w:val="center"/>
            </w:pPr>
            <w:r w:rsidRPr="00E84D59">
              <w:t>.04</w:t>
            </w:r>
          </w:p>
        </w:tc>
        <w:tc>
          <w:tcPr>
            <w:tcW w:w="236" w:type="dxa"/>
            <w:tcBorders>
              <w:top w:val="nil"/>
              <w:left w:val="nil"/>
              <w:bottom w:val="nil"/>
              <w:right w:val="nil"/>
            </w:tcBorders>
          </w:tcPr>
          <w:p w14:paraId="4D66CC57" w14:textId="77777777" w:rsidR="003C6938" w:rsidRPr="00E84D59" w:rsidRDefault="003C6938" w:rsidP="003C6938">
            <w:pPr>
              <w:jc w:val="center"/>
              <w:rPr>
                <w:i/>
              </w:rPr>
            </w:pPr>
          </w:p>
        </w:tc>
        <w:tc>
          <w:tcPr>
            <w:tcW w:w="531" w:type="dxa"/>
            <w:gridSpan w:val="2"/>
            <w:tcBorders>
              <w:top w:val="nil"/>
              <w:left w:val="nil"/>
              <w:bottom w:val="nil"/>
              <w:right w:val="nil"/>
            </w:tcBorders>
            <w:shd w:val="clear" w:color="auto" w:fill="auto"/>
            <w:noWrap/>
            <w:vAlign w:val="bottom"/>
          </w:tcPr>
          <w:p w14:paraId="7BBA09B5" w14:textId="77777777" w:rsidR="003C6938" w:rsidRPr="00E84D59" w:rsidRDefault="003C6938" w:rsidP="003C6938">
            <w:pPr>
              <w:jc w:val="center"/>
              <w:rPr>
                <w:i/>
              </w:rPr>
            </w:pPr>
            <w:r w:rsidRPr="00E84D59">
              <w:rPr>
                <w:i/>
              </w:rPr>
              <w:t>-</w:t>
            </w:r>
          </w:p>
        </w:tc>
        <w:tc>
          <w:tcPr>
            <w:tcW w:w="568" w:type="dxa"/>
            <w:tcBorders>
              <w:top w:val="nil"/>
              <w:left w:val="nil"/>
              <w:bottom w:val="nil"/>
              <w:right w:val="nil"/>
            </w:tcBorders>
            <w:shd w:val="clear" w:color="auto" w:fill="auto"/>
            <w:noWrap/>
            <w:vAlign w:val="bottom"/>
          </w:tcPr>
          <w:p w14:paraId="2B13585F" w14:textId="77777777" w:rsidR="003C6938" w:rsidRPr="00E84D59" w:rsidRDefault="003C6938" w:rsidP="003C6938">
            <w:pPr>
              <w:jc w:val="center"/>
            </w:pPr>
            <w:r w:rsidRPr="00E84D59">
              <w:t>-</w:t>
            </w:r>
          </w:p>
        </w:tc>
        <w:tc>
          <w:tcPr>
            <w:tcW w:w="616" w:type="dxa"/>
            <w:tcBorders>
              <w:left w:val="nil"/>
              <w:bottom w:val="nil"/>
              <w:right w:val="nil"/>
            </w:tcBorders>
          </w:tcPr>
          <w:p w14:paraId="2031F27B" w14:textId="77777777" w:rsidR="003C6938" w:rsidRPr="00E84D59" w:rsidRDefault="003C6938" w:rsidP="003C6938">
            <w:pPr>
              <w:jc w:val="center"/>
              <w:rPr>
                <w:b/>
              </w:rPr>
            </w:pPr>
            <w:r w:rsidRPr="00E84D59">
              <w:rPr>
                <w:b/>
              </w:rPr>
              <w:t>.58</w:t>
            </w:r>
          </w:p>
        </w:tc>
        <w:tc>
          <w:tcPr>
            <w:tcW w:w="531" w:type="dxa"/>
            <w:tcBorders>
              <w:left w:val="nil"/>
              <w:bottom w:val="nil"/>
              <w:right w:val="nil"/>
            </w:tcBorders>
          </w:tcPr>
          <w:p w14:paraId="3730147A" w14:textId="77777777" w:rsidR="003C6938" w:rsidRPr="00E84D59" w:rsidRDefault="003C6938" w:rsidP="003C6938">
            <w:pPr>
              <w:jc w:val="center"/>
            </w:pPr>
            <w:r w:rsidRPr="00E84D59">
              <w:t>.04</w:t>
            </w:r>
          </w:p>
        </w:tc>
      </w:tr>
      <w:tr w:rsidR="003C6938" w:rsidRPr="00E84D59" w14:paraId="74B1D964" w14:textId="77777777" w:rsidTr="003C6938">
        <w:trPr>
          <w:trHeight w:val="93"/>
        </w:trPr>
        <w:tc>
          <w:tcPr>
            <w:tcW w:w="9041" w:type="dxa"/>
            <w:tcBorders>
              <w:top w:val="single" w:sz="4" w:space="0" w:color="auto"/>
              <w:left w:val="nil"/>
              <w:bottom w:val="single" w:sz="2" w:space="0" w:color="000000" w:themeColor="text1"/>
              <w:right w:val="nil"/>
            </w:tcBorders>
            <w:shd w:val="clear" w:color="auto" w:fill="auto"/>
            <w:noWrap/>
            <w:vAlign w:val="center"/>
          </w:tcPr>
          <w:p w14:paraId="53A747EE" w14:textId="77777777" w:rsidR="003C6938" w:rsidRPr="00E84D59" w:rsidRDefault="003C6938" w:rsidP="003C6938">
            <w:r w:rsidRPr="00E84D59">
              <w:t>Factor Intercorrelations</w:t>
            </w:r>
          </w:p>
        </w:tc>
        <w:tc>
          <w:tcPr>
            <w:tcW w:w="2214" w:type="dxa"/>
            <w:gridSpan w:val="4"/>
            <w:tcBorders>
              <w:top w:val="single" w:sz="4" w:space="0" w:color="auto"/>
              <w:left w:val="nil"/>
              <w:bottom w:val="single" w:sz="2" w:space="0" w:color="000000" w:themeColor="text1"/>
              <w:right w:val="nil"/>
            </w:tcBorders>
            <w:shd w:val="clear" w:color="auto" w:fill="auto"/>
            <w:noWrap/>
            <w:vAlign w:val="center"/>
          </w:tcPr>
          <w:p w14:paraId="537F46E8" w14:textId="77777777" w:rsidR="003C6938" w:rsidRPr="00E84D59" w:rsidRDefault="003C6938" w:rsidP="003C6938">
            <w:pPr>
              <w:jc w:val="center"/>
              <w:rPr>
                <w:b/>
              </w:rPr>
            </w:pPr>
            <w:r w:rsidRPr="00E84D59">
              <w:t xml:space="preserve"> </w:t>
            </w:r>
            <w:r w:rsidRPr="00E84D59">
              <w:rPr>
                <w:b/>
              </w:rPr>
              <w:t>.</w:t>
            </w:r>
            <w:r>
              <w:rPr>
                <w:b/>
              </w:rPr>
              <w:t>78</w:t>
            </w:r>
            <w:r w:rsidRPr="00E84D59">
              <w:rPr>
                <w:b/>
              </w:rPr>
              <w:t xml:space="preserve"> </w:t>
            </w:r>
            <w:r w:rsidRPr="00E84D59">
              <w:t>(.02)</w:t>
            </w:r>
          </w:p>
        </w:tc>
        <w:tc>
          <w:tcPr>
            <w:tcW w:w="236" w:type="dxa"/>
            <w:tcBorders>
              <w:top w:val="single" w:sz="4" w:space="0" w:color="auto"/>
              <w:left w:val="nil"/>
              <w:bottom w:val="single" w:sz="2" w:space="0" w:color="000000" w:themeColor="text1"/>
              <w:right w:val="nil"/>
            </w:tcBorders>
          </w:tcPr>
          <w:p w14:paraId="54D01D21" w14:textId="77777777" w:rsidR="003C6938" w:rsidRPr="00E84D59" w:rsidRDefault="003C6938" w:rsidP="003C6938">
            <w:pPr>
              <w:jc w:val="center"/>
              <w:rPr>
                <w:b/>
              </w:rPr>
            </w:pPr>
          </w:p>
        </w:tc>
        <w:tc>
          <w:tcPr>
            <w:tcW w:w="2256" w:type="dxa"/>
            <w:gridSpan w:val="6"/>
            <w:tcBorders>
              <w:top w:val="single" w:sz="4" w:space="0" w:color="auto"/>
              <w:left w:val="nil"/>
              <w:bottom w:val="single" w:sz="2" w:space="0" w:color="000000" w:themeColor="text1"/>
              <w:right w:val="nil"/>
            </w:tcBorders>
            <w:shd w:val="clear" w:color="auto" w:fill="auto"/>
            <w:noWrap/>
            <w:vAlign w:val="center"/>
          </w:tcPr>
          <w:p w14:paraId="4EFA5593" w14:textId="77777777" w:rsidR="003C6938" w:rsidRPr="00E84D59" w:rsidRDefault="003C6938" w:rsidP="003C6938">
            <w:pPr>
              <w:jc w:val="center"/>
            </w:pPr>
            <w:r w:rsidRPr="00E84D59">
              <w:rPr>
                <w:b/>
              </w:rPr>
              <w:t>.76</w:t>
            </w:r>
            <w:r w:rsidRPr="00E84D59">
              <w:t xml:space="preserve"> (.03)</w:t>
            </w:r>
          </w:p>
        </w:tc>
      </w:tr>
      <w:tr w:rsidR="003C6938" w:rsidRPr="00E84D59" w14:paraId="6F0DA5D7" w14:textId="77777777" w:rsidTr="003C6938">
        <w:trPr>
          <w:gridAfter w:val="3"/>
          <w:wAfter w:w="1157" w:type="dxa"/>
          <w:trHeight w:val="420"/>
        </w:trPr>
        <w:tc>
          <w:tcPr>
            <w:tcW w:w="12590" w:type="dxa"/>
            <w:gridSpan w:val="9"/>
            <w:tcBorders>
              <w:top w:val="single" w:sz="2" w:space="0" w:color="000000" w:themeColor="text1"/>
              <w:left w:val="nil"/>
              <w:bottom w:val="nil"/>
              <w:right w:val="nil"/>
            </w:tcBorders>
          </w:tcPr>
          <w:p w14:paraId="65EDCE3B" w14:textId="77777777" w:rsidR="003C6938" w:rsidRPr="00E84D59" w:rsidRDefault="003C6938" w:rsidP="003C6938">
            <w:r w:rsidRPr="00E84D59">
              <w:rPr>
                <w:i/>
                <w:sz w:val="20"/>
                <w:szCs w:val="20"/>
              </w:rPr>
              <w:t>Note</w:t>
            </w:r>
            <w:r w:rsidRPr="00E84D59">
              <w:rPr>
                <w:sz w:val="20"/>
                <w:szCs w:val="20"/>
              </w:rPr>
              <w:t xml:space="preserve">. Factor loadings are bolded if </w:t>
            </w:r>
            <w:r w:rsidRPr="00E84D59">
              <w:rPr>
                <w:i/>
                <w:sz w:val="20"/>
                <w:szCs w:val="20"/>
              </w:rPr>
              <w:t>p</w:t>
            </w:r>
            <w:r w:rsidRPr="00E84D59">
              <w:rPr>
                <w:sz w:val="20"/>
                <w:szCs w:val="20"/>
              </w:rPr>
              <w:t xml:space="preserve"> &lt; .001. BEH = Behaviors; ATT = Attitudes. </w:t>
            </w:r>
            <w:r>
              <w:rPr>
                <w:sz w:val="20"/>
                <w:szCs w:val="20"/>
              </w:rPr>
              <w:t>Behaviors items</w:t>
            </w:r>
            <w:r w:rsidRPr="00E84D59">
              <w:rPr>
                <w:sz w:val="20"/>
                <w:szCs w:val="20"/>
              </w:rPr>
              <w:t xml:space="preserve"> are adapted from Gervais, DiLillo, and McChargue (2014)</w:t>
            </w:r>
            <w:r>
              <w:rPr>
                <w:sz w:val="20"/>
                <w:szCs w:val="20"/>
              </w:rPr>
              <w:t xml:space="preserve"> and began with the phrase “</w:t>
            </w:r>
            <w:r>
              <w:rPr>
                <w:i/>
                <w:sz w:val="20"/>
                <w:szCs w:val="20"/>
              </w:rPr>
              <w:t xml:space="preserve">How often have you </w:t>
            </w:r>
            <w:r>
              <w:rPr>
                <w:sz w:val="20"/>
                <w:szCs w:val="20"/>
              </w:rPr>
              <w:t>[item].</w:t>
            </w:r>
            <w:r>
              <w:rPr>
                <w:i/>
                <w:sz w:val="20"/>
                <w:szCs w:val="20"/>
              </w:rPr>
              <w:t>”</w:t>
            </w:r>
            <w:r w:rsidRPr="00E84D59">
              <w:rPr>
                <w:sz w:val="20"/>
                <w:szCs w:val="20"/>
              </w:rPr>
              <w:t xml:space="preserve"> </w:t>
            </w:r>
            <w:r>
              <w:rPr>
                <w:sz w:val="20"/>
                <w:szCs w:val="20"/>
              </w:rPr>
              <w:t>Behaviors items were answered on a 1-5, Never/Always Likert scale; Attitudes i</w:t>
            </w:r>
            <w:r w:rsidRPr="00E84D59">
              <w:rPr>
                <w:sz w:val="20"/>
                <w:szCs w:val="20"/>
              </w:rPr>
              <w:t>tems were answered on a 1-5, Agree/Disagree Likert scale</w:t>
            </w:r>
            <w:r>
              <w:rPr>
                <w:sz w:val="20"/>
                <w:szCs w:val="20"/>
              </w:rPr>
              <w:t xml:space="preserve">; </w:t>
            </w:r>
          </w:p>
        </w:tc>
      </w:tr>
    </w:tbl>
    <w:p w14:paraId="54515580" w14:textId="1747D2BC" w:rsidR="003C6938" w:rsidRDefault="003C6938" w:rsidP="00895E39">
      <w:pPr>
        <w:rPr>
          <w:sz w:val="21"/>
        </w:rPr>
      </w:pPr>
    </w:p>
    <w:p w14:paraId="7BFEC054" w14:textId="77777777" w:rsidR="003C6938" w:rsidRDefault="003C6938" w:rsidP="00895E39">
      <w:pPr>
        <w:rPr>
          <w:sz w:val="21"/>
        </w:rPr>
        <w:sectPr w:rsidR="003C6938" w:rsidSect="003C6938">
          <w:headerReference w:type="first" r:id="rId15"/>
          <w:pgSz w:w="15840" w:h="12240" w:orient="landscape"/>
          <w:pgMar w:top="1440" w:right="1440" w:bottom="1440" w:left="1440" w:header="720" w:footer="720" w:gutter="0"/>
          <w:cols w:space="720"/>
          <w:titlePg/>
          <w:docGrid w:linePitch="360"/>
        </w:sectPr>
      </w:pPr>
    </w:p>
    <w:p w14:paraId="396C36A9" w14:textId="2FA39F2F" w:rsidR="003C6938" w:rsidRDefault="003C6938" w:rsidP="00895E39">
      <w:pPr>
        <w:rPr>
          <w:sz w:val="21"/>
        </w:rPr>
      </w:pPr>
    </w:p>
    <w:p w14:paraId="331E9568" w14:textId="13F7F65D" w:rsidR="003C6938" w:rsidRDefault="003C6938" w:rsidP="00895E39">
      <w:pPr>
        <w:rPr>
          <w:sz w:val="21"/>
        </w:rPr>
      </w:pPr>
    </w:p>
    <w:p w14:paraId="2AB2F905" w14:textId="2F08073D" w:rsidR="003C6938" w:rsidRDefault="003C6938" w:rsidP="00895E39">
      <w:pPr>
        <w:rPr>
          <w:sz w:val="21"/>
        </w:rPr>
      </w:pPr>
    </w:p>
    <w:p w14:paraId="620A8181" w14:textId="4817239B" w:rsidR="003C6938" w:rsidRDefault="003C6938" w:rsidP="00895E39">
      <w:pPr>
        <w:rPr>
          <w:sz w:val="21"/>
        </w:rPr>
      </w:pPr>
    </w:p>
    <w:p w14:paraId="3ABDC0CF" w14:textId="1C9A9453" w:rsidR="003C6938" w:rsidRDefault="003C6938" w:rsidP="00895E39">
      <w:pPr>
        <w:rPr>
          <w:sz w:val="21"/>
        </w:rPr>
      </w:pPr>
    </w:p>
    <w:p w14:paraId="713906CC" w14:textId="33C6A75D" w:rsidR="003C6938" w:rsidRDefault="003C6938" w:rsidP="00895E39">
      <w:pPr>
        <w:rPr>
          <w:sz w:val="21"/>
        </w:rPr>
      </w:pPr>
    </w:p>
    <w:p w14:paraId="670F59F3" w14:textId="52FA9DD6" w:rsidR="003C6938" w:rsidRDefault="003C6938" w:rsidP="00895E39">
      <w:pPr>
        <w:rPr>
          <w:sz w:val="21"/>
        </w:rPr>
      </w:pPr>
    </w:p>
    <w:p w14:paraId="7385FD6C" w14:textId="7657FA8A" w:rsidR="003C6938" w:rsidRDefault="003C6938" w:rsidP="00895E39">
      <w:pPr>
        <w:rPr>
          <w:sz w:val="21"/>
        </w:rPr>
      </w:pPr>
    </w:p>
    <w:p w14:paraId="283365F6" w14:textId="56DB6283" w:rsidR="003C6938" w:rsidRDefault="003C6938" w:rsidP="00895E39">
      <w:pPr>
        <w:rPr>
          <w:sz w:val="21"/>
        </w:rPr>
      </w:pPr>
    </w:p>
    <w:p w14:paraId="395F14C1" w14:textId="0FAC0FCD" w:rsidR="003C6938" w:rsidRDefault="003C6938" w:rsidP="00895E39">
      <w:pPr>
        <w:rPr>
          <w:sz w:val="21"/>
        </w:rPr>
      </w:pPr>
    </w:p>
    <w:p w14:paraId="56E6DD39" w14:textId="71C1C4EC" w:rsidR="003C6938" w:rsidRDefault="003C6938" w:rsidP="00895E39">
      <w:pPr>
        <w:rPr>
          <w:sz w:val="21"/>
        </w:rPr>
      </w:pPr>
    </w:p>
    <w:p w14:paraId="31AC7D2F" w14:textId="414B39D5" w:rsidR="003C6938" w:rsidRDefault="003C6938" w:rsidP="00895E39">
      <w:pPr>
        <w:rPr>
          <w:sz w:val="21"/>
        </w:rPr>
      </w:pPr>
    </w:p>
    <w:p w14:paraId="7DF67E56" w14:textId="7459A0E6" w:rsidR="003C6938" w:rsidRDefault="003C6938" w:rsidP="00895E39">
      <w:pPr>
        <w:rPr>
          <w:sz w:val="21"/>
        </w:rPr>
      </w:pPr>
    </w:p>
    <w:p w14:paraId="2D7E9AE8" w14:textId="6D0979CA" w:rsidR="003C6938" w:rsidRDefault="003C6938" w:rsidP="00895E39">
      <w:pPr>
        <w:rPr>
          <w:sz w:val="21"/>
        </w:rPr>
      </w:pPr>
    </w:p>
    <w:p w14:paraId="1F922D7A" w14:textId="45E754CC" w:rsidR="003C6938" w:rsidRDefault="003C6938" w:rsidP="00895E39">
      <w:pPr>
        <w:rPr>
          <w:sz w:val="21"/>
        </w:rPr>
      </w:pPr>
    </w:p>
    <w:p w14:paraId="56ACE7C8" w14:textId="4244BD0C" w:rsidR="003C6938" w:rsidRDefault="003C6938" w:rsidP="00895E39">
      <w:pPr>
        <w:rPr>
          <w:sz w:val="21"/>
        </w:rPr>
      </w:pPr>
    </w:p>
    <w:p w14:paraId="62154395" w14:textId="64CE9D3E" w:rsidR="003C6938" w:rsidRDefault="003C6938" w:rsidP="00895E39">
      <w:pPr>
        <w:rPr>
          <w:sz w:val="21"/>
        </w:rPr>
      </w:pPr>
    </w:p>
    <w:p w14:paraId="657345DD" w14:textId="124C102C" w:rsidR="003C6938" w:rsidRDefault="003C6938" w:rsidP="00895E39">
      <w:pPr>
        <w:rPr>
          <w:sz w:val="21"/>
        </w:rPr>
      </w:pPr>
    </w:p>
    <w:p w14:paraId="0B151625" w14:textId="42FF38B9" w:rsidR="003C6938" w:rsidRDefault="003C6938" w:rsidP="00895E39">
      <w:pPr>
        <w:rPr>
          <w:sz w:val="21"/>
        </w:rPr>
      </w:pPr>
    </w:p>
    <w:p w14:paraId="542FDC49" w14:textId="4B22B682" w:rsidR="003C6938" w:rsidRDefault="003C6938" w:rsidP="00895E39">
      <w:pPr>
        <w:rPr>
          <w:sz w:val="21"/>
        </w:rPr>
      </w:pPr>
    </w:p>
    <w:p w14:paraId="0DC078D7" w14:textId="2BE87AE4" w:rsidR="003C6938" w:rsidRDefault="003C6938" w:rsidP="00895E39">
      <w:pPr>
        <w:rPr>
          <w:sz w:val="21"/>
        </w:rPr>
      </w:pPr>
    </w:p>
    <w:p w14:paraId="10BF4BCE" w14:textId="15CBE28C" w:rsidR="003C6938" w:rsidRDefault="003C6938" w:rsidP="00895E39">
      <w:pPr>
        <w:rPr>
          <w:sz w:val="21"/>
        </w:rPr>
      </w:pPr>
    </w:p>
    <w:p w14:paraId="51846EF0" w14:textId="56838E1E" w:rsidR="003C6938" w:rsidRDefault="003C6938" w:rsidP="00895E39">
      <w:pPr>
        <w:rPr>
          <w:sz w:val="21"/>
        </w:rPr>
      </w:pPr>
    </w:p>
    <w:tbl>
      <w:tblPr>
        <w:tblpPr w:leftFromText="180" w:rightFromText="180" w:vertAnchor="page" w:horzAnchor="page" w:tblpX="970" w:tblpY="1265"/>
        <w:tblW w:w="9936" w:type="dxa"/>
        <w:tblLayout w:type="fixed"/>
        <w:tblCellMar>
          <w:left w:w="115" w:type="dxa"/>
          <w:right w:w="115" w:type="dxa"/>
        </w:tblCellMar>
        <w:tblLook w:val="04A0" w:firstRow="1" w:lastRow="0" w:firstColumn="1" w:lastColumn="0" w:noHBand="0" w:noVBand="1"/>
        <w:tblDescription w:val="Note. Coefficients are bolded if p &lt; .001 and italicized if p &lt; .01. GASP=Guilt and Shame Proneness; VAST=Varieties of Sadistic Tendencies; ACME = Affective and Cognitive Measure of Empathy; NPI=Narcissistic Personality Inventory; PPI=Psychopathic Personality Inventory - Revised (in Study 1) and PPI-40 (in Study 2); TriPM=Triarchic Psychopathy Measure;  PID-5=Personality Inventory for DSM 5–Brief Form;  ECR-R=Experiences in Close Relationships. &#10;"/>
      </w:tblPr>
      <w:tblGrid>
        <w:gridCol w:w="2819"/>
        <w:gridCol w:w="870"/>
        <w:gridCol w:w="872"/>
        <w:gridCol w:w="891"/>
        <w:gridCol w:w="854"/>
        <w:gridCol w:w="859"/>
        <w:gridCol w:w="943"/>
        <w:gridCol w:w="892"/>
        <w:gridCol w:w="923"/>
        <w:gridCol w:w="13"/>
      </w:tblGrid>
      <w:tr w:rsidR="003C6938" w:rsidRPr="00E84D59" w14:paraId="7162D842" w14:textId="77777777" w:rsidTr="003C6938">
        <w:trPr>
          <w:trHeight w:val="264"/>
        </w:trPr>
        <w:tc>
          <w:tcPr>
            <w:tcW w:w="9936" w:type="dxa"/>
            <w:gridSpan w:val="10"/>
          </w:tcPr>
          <w:p w14:paraId="68B48BC4" w14:textId="77777777" w:rsidR="003C6938" w:rsidRPr="00E84D59" w:rsidRDefault="003C6938" w:rsidP="003C6938">
            <w:pPr>
              <w:contextualSpacing/>
              <w:rPr>
                <w:i/>
                <w:sz w:val="21"/>
                <w:szCs w:val="21"/>
              </w:rPr>
            </w:pPr>
            <w:r w:rsidRPr="00E84D59">
              <w:t>Table 2.</w:t>
            </w:r>
            <w:r w:rsidRPr="00E84D59">
              <w:rPr>
                <w:b/>
              </w:rPr>
              <w:t xml:space="preserve"> </w:t>
            </w:r>
            <w:r w:rsidRPr="00E84D59">
              <w:rPr>
                <w:i/>
              </w:rPr>
              <w:t xml:space="preserve">Individual and simultaneous regressions of </w:t>
            </w:r>
            <w:r>
              <w:rPr>
                <w:i/>
              </w:rPr>
              <w:t>psychopathy</w:t>
            </w:r>
            <w:r w:rsidRPr="00E84D59">
              <w:rPr>
                <w:i/>
              </w:rPr>
              <w:t xml:space="preserve"> variables on the ISOS-PR</w:t>
            </w:r>
            <w:r w:rsidRPr="00E84D59">
              <w:rPr>
                <w:i/>
                <w:sz w:val="21"/>
                <w:szCs w:val="21"/>
              </w:rPr>
              <w:t xml:space="preserve">. </w:t>
            </w:r>
          </w:p>
        </w:tc>
      </w:tr>
      <w:tr w:rsidR="003C6938" w:rsidRPr="00E84D59" w14:paraId="1B059D4B" w14:textId="77777777" w:rsidTr="003C6938">
        <w:trPr>
          <w:gridAfter w:val="1"/>
          <w:wAfter w:w="13" w:type="dxa"/>
          <w:trHeight w:val="308"/>
        </w:trPr>
        <w:tc>
          <w:tcPr>
            <w:tcW w:w="2819" w:type="dxa"/>
            <w:tcBorders>
              <w:top w:val="single" w:sz="4" w:space="0" w:color="auto"/>
            </w:tcBorders>
          </w:tcPr>
          <w:p w14:paraId="780F580E" w14:textId="77777777" w:rsidR="003C6938" w:rsidRPr="00E84D59" w:rsidRDefault="003C6938" w:rsidP="003C6938">
            <w:pPr>
              <w:rPr>
                <w:sz w:val="21"/>
                <w:szCs w:val="21"/>
              </w:rPr>
            </w:pPr>
          </w:p>
        </w:tc>
        <w:tc>
          <w:tcPr>
            <w:tcW w:w="3487" w:type="dxa"/>
            <w:gridSpan w:val="4"/>
            <w:tcBorders>
              <w:top w:val="single" w:sz="4" w:space="0" w:color="auto"/>
              <w:bottom w:val="single" w:sz="4" w:space="0" w:color="auto"/>
            </w:tcBorders>
            <w:vAlign w:val="center"/>
          </w:tcPr>
          <w:p w14:paraId="7FB2097E" w14:textId="77777777" w:rsidR="003C6938" w:rsidRPr="00E84D59" w:rsidRDefault="003C6938" w:rsidP="003C6938">
            <w:pPr>
              <w:contextualSpacing/>
              <w:jc w:val="center"/>
              <w:rPr>
                <w:sz w:val="21"/>
                <w:szCs w:val="21"/>
              </w:rPr>
            </w:pPr>
            <w:r w:rsidRPr="00E84D59">
              <w:rPr>
                <w:sz w:val="21"/>
                <w:szCs w:val="21"/>
              </w:rPr>
              <w:t>Study 1</w:t>
            </w:r>
          </w:p>
        </w:tc>
        <w:tc>
          <w:tcPr>
            <w:tcW w:w="3617" w:type="dxa"/>
            <w:gridSpan w:val="4"/>
            <w:tcBorders>
              <w:top w:val="single" w:sz="4" w:space="0" w:color="auto"/>
              <w:left w:val="nil"/>
            </w:tcBorders>
            <w:vAlign w:val="center"/>
          </w:tcPr>
          <w:p w14:paraId="6C232314" w14:textId="77777777" w:rsidR="003C6938" w:rsidRPr="00E84D59" w:rsidRDefault="003C6938" w:rsidP="003C6938">
            <w:pPr>
              <w:contextualSpacing/>
              <w:jc w:val="center"/>
              <w:rPr>
                <w:sz w:val="21"/>
                <w:szCs w:val="21"/>
              </w:rPr>
            </w:pPr>
            <w:r w:rsidRPr="00E84D59">
              <w:rPr>
                <w:sz w:val="21"/>
                <w:szCs w:val="21"/>
              </w:rPr>
              <w:t>Study 2</w:t>
            </w:r>
          </w:p>
        </w:tc>
      </w:tr>
      <w:tr w:rsidR="003C6938" w:rsidRPr="00E84D59" w14:paraId="1D2568FA" w14:textId="77777777" w:rsidTr="003C6938">
        <w:trPr>
          <w:gridAfter w:val="1"/>
          <w:wAfter w:w="13" w:type="dxa"/>
          <w:trHeight w:val="308"/>
        </w:trPr>
        <w:tc>
          <w:tcPr>
            <w:tcW w:w="2819" w:type="dxa"/>
          </w:tcPr>
          <w:p w14:paraId="417016CB" w14:textId="77777777" w:rsidR="003C6938" w:rsidRPr="00E84D59" w:rsidRDefault="003C6938" w:rsidP="003C6938">
            <w:pPr>
              <w:rPr>
                <w:sz w:val="21"/>
                <w:szCs w:val="21"/>
              </w:rPr>
            </w:pPr>
          </w:p>
        </w:tc>
        <w:tc>
          <w:tcPr>
            <w:tcW w:w="1742" w:type="dxa"/>
            <w:gridSpan w:val="2"/>
            <w:tcBorders>
              <w:top w:val="single" w:sz="4" w:space="0" w:color="auto"/>
              <w:bottom w:val="single" w:sz="4" w:space="0" w:color="auto"/>
            </w:tcBorders>
            <w:vAlign w:val="center"/>
          </w:tcPr>
          <w:p w14:paraId="04274DB4" w14:textId="77777777" w:rsidR="003C6938" w:rsidRPr="00E84D59" w:rsidRDefault="003C6938" w:rsidP="003C6938">
            <w:pPr>
              <w:contextualSpacing/>
              <w:jc w:val="center"/>
              <w:rPr>
                <w:b/>
                <w:sz w:val="21"/>
                <w:szCs w:val="21"/>
              </w:rPr>
            </w:pPr>
            <w:r w:rsidRPr="00E84D59">
              <w:rPr>
                <w:sz w:val="21"/>
                <w:szCs w:val="21"/>
              </w:rPr>
              <w:t xml:space="preserve"> Attitudes</w:t>
            </w:r>
          </w:p>
        </w:tc>
        <w:tc>
          <w:tcPr>
            <w:tcW w:w="1745" w:type="dxa"/>
            <w:gridSpan w:val="2"/>
            <w:tcBorders>
              <w:top w:val="single" w:sz="4" w:space="0" w:color="auto"/>
              <w:left w:val="nil"/>
            </w:tcBorders>
            <w:vAlign w:val="center"/>
          </w:tcPr>
          <w:p w14:paraId="72DCB1B4" w14:textId="77777777" w:rsidR="003C6938" w:rsidRPr="00E84D59" w:rsidRDefault="003C6938" w:rsidP="003C6938">
            <w:pPr>
              <w:contextualSpacing/>
              <w:jc w:val="center"/>
              <w:rPr>
                <w:sz w:val="21"/>
                <w:szCs w:val="21"/>
              </w:rPr>
            </w:pPr>
            <w:r w:rsidRPr="00E84D59">
              <w:rPr>
                <w:sz w:val="21"/>
                <w:szCs w:val="21"/>
              </w:rPr>
              <w:t>Behaviors</w:t>
            </w:r>
          </w:p>
        </w:tc>
        <w:tc>
          <w:tcPr>
            <w:tcW w:w="1802" w:type="dxa"/>
            <w:gridSpan w:val="2"/>
            <w:tcBorders>
              <w:top w:val="single" w:sz="4" w:space="0" w:color="auto"/>
              <w:left w:val="nil"/>
            </w:tcBorders>
            <w:vAlign w:val="center"/>
          </w:tcPr>
          <w:p w14:paraId="179A32E4" w14:textId="77777777" w:rsidR="003C6938" w:rsidRPr="00E84D59" w:rsidRDefault="003C6938" w:rsidP="003C6938">
            <w:pPr>
              <w:contextualSpacing/>
              <w:jc w:val="center"/>
              <w:rPr>
                <w:sz w:val="21"/>
                <w:szCs w:val="21"/>
              </w:rPr>
            </w:pPr>
            <w:r w:rsidRPr="00E84D59">
              <w:rPr>
                <w:sz w:val="21"/>
                <w:szCs w:val="21"/>
              </w:rPr>
              <w:t>Attitudes</w:t>
            </w:r>
          </w:p>
        </w:tc>
        <w:tc>
          <w:tcPr>
            <w:tcW w:w="1815" w:type="dxa"/>
            <w:gridSpan w:val="2"/>
            <w:tcBorders>
              <w:top w:val="single" w:sz="4" w:space="0" w:color="auto"/>
              <w:left w:val="nil"/>
            </w:tcBorders>
            <w:vAlign w:val="center"/>
          </w:tcPr>
          <w:p w14:paraId="119F08E8" w14:textId="77777777" w:rsidR="003C6938" w:rsidRPr="00E84D59" w:rsidRDefault="003C6938" w:rsidP="003C6938">
            <w:pPr>
              <w:contextualSpacing/>
              <w:jc w:val="center"/>
              <w:rPr>
                <w:sz w:val="21"/>
                <w:szCs w:val="21"/>
              </w:rPr>
            </w:pPr>
            <w:r w:rsidRPr="00E84D59">
              <w:rPr>
                <w:sz w:val="21"/>
                <w:szCs w:val="21"/>
              </w:rPr>
              <w:t>Behaviors</w:t>
            </w:r>
          </w:p>
        </w:tc>
      </w:tr>
      <w:tr w:rsidR="003C6938" w:rsidRPr="00E84D59" w14:paraId="29B87B2A" w14:textId="77777777" w:rsidTr="003C6938">
        <w:trPr>
          <w:gridAfter w:val="1"/>
          <w:wAfter w:w="13" w:type="dxa"/>
          <w:trHeight w:val="308"/>
        </w:trPr>
        <w:tc>
          <w:tcPr>
            <w:tcW w:w="2819" w:type="dxa"/>
            <w:tcBorders>
              <w:bottom w:val="single" w:sz="4" w:space="0" w:color="auto"/>
            </w:tcBorders>
          </w:tcPr>
          <w:p w14:paraId="3F38F73E" w14:textId="77777777" w:rsidR="003C6938" w:rsidRPr="00E84D59" w:rsidRDefault="003C6938" w:rsidP="003C6938">
            <w:pPr>
              <w:rPr>
                <w:sz w:val="21"/>
                <w:szCs w:val="21"/>
              </w:rPr>
            </w:pPr>
          </w:p>
        </w:tc>
        <w:tc>
          <w:tcPr>
            <w:tcW w:w="870" w:type="dxa"/>
            <w:tcBorders>
              <w:top w:val="single" w:sz="4" w:space="0" w:color="auto"/>
              <w:bottom w:val="single" w:sz="4" w:space="0" w:color="auto"/>
            </w:tcBorders>
            <w:vAlign w:val="center"/>
          </w:tcPr>
          <w:p w14:paraId="0771D6C0" w14:textId="77777777" w:rsidR="003C6938" w:rsidRPr="00E84D59" w:rsidRDefault="003C6938" w:rsidP="003C6938">
            <w:pPr>
              <w:jc w:val="center"/>
              <w:rPr>
                <w:i/>
                <w:sz w:val="21"/>
                <w:szCs w:val="21"/>
              </w:rPr>
            </w:pPr>
            <w:r w:rsidRPr="00E84D59">
              <w:rPr>
                <w:i/>
                <w:sz w:val="21"/>
                <w:szCs w:val="21"/>
              </w:rPr>
              <w:t>r</w:t>
            </w:r>
          </w:p>
        </w:tc>
        <w:tc>
          <w:tcPr>
            <w:tcW w:w="872" w:type="dxa"/>
            <w:tcBorders>
              <w:top w:val="single" w:sz="4" w:space="0" w:color="auto"/>
              <w:bottom w:val="single" w:sz="4" w:space="0" w:color="auto"/>
            </w:tcBorders>
            <w:vAlign w:val="center"/>
          </w:tcPr>
          <w:p w14:paraId="35483355" w14:textId="77777777" w:rsidR="003C6938" w:rsidRPr="00E84D59" w:rsidRDefault="003C6938" w:rsidP="003C6938">
            <w:pPr>
              <w:jc w:val="center"/>
              <w:rPr>
                <w:sz w:val="21"/>
                <w:szCs w:val="21"/>
              </w:rPr>
            </w:pPr>
            <w:r w:rsidRPr="00E84D59">
              <w:rPr>
                <w:sz w:val="21"/>
                <w:szCs w:val="21"/>
              </w:rPr>
              <w:t>β</w:t>
            </w:r>
          </w:p>
        </w:tc>
        <w:tc>
          <w:tcPr>
            <w:tcW w:w="891" w:type="dxa"/>
            <w:tcBorders>
              <w:top w:val="single" w:sz="4" w:space="0" w:color="auto"/>
              <w:bottom w:val="single" w:sz="4" w:space="0" w:color="auto"/>
            </w:tcBorders>
            <w:vAlign w:val="center"/>
          </w:tcPr>
          <w:p w14:paraId="2DE60478" w14:textId="77777777" w:rsidR="003C6938" w:rsidRPr="00E84D59" w:rsidRDefault="003C6938" w:rsidP="003C6938">
            <w:pPr>
              <w:jc w:val="center"/>
              <w:rPr>
                <w:i/>
                <w:sz w:val="21"/>
                <w:szCs w:val="21"/>
              </w:rPr>
            </w:pPr>
            <w:r w:rsidRPr="00E84D59">
              <w:rPr>
                <w:i/>
                <w:sz w:val="21"/>
                <w:szCs w:val="21"/>
              </w:rPr>
              <w:t>r</w:t>
            </w:r>
          </w:p>
        </w:tc>
        <w:tc>
          <w:tcPr>
            <w:tcW w:w="854" w:type="dxa"/>
            <w:tcBorders>
              <w:top w:val="single" w:sz="4" w:space="0" w:color="auto"/>
              <w:bottom w:val="single" w:sz="4" w:space="0" w:color="auto"/>
            </w:tcBorders>
            <w:vAlign w:val="center"/>
          </w:tcPr>
          <w:p w14:paraId="6C463919" w14:textId="77777777" w:rsidR="003C6938" w:rsidRPr="00E84D59" w:rsidRDefault="003C6938" w:rsidP="003C6938">
            <w:pPr>
              <w:jc w:val="center"/>
              <w:rPr>
                <w:sz w:val="21"/>
                <w:szCs w:val="21"/>
              </w:rPr>
            </w:pPr>
            <w:r w:rsidRPr="00E84D59">
              <w:rPr>
                <w:sz w:val="21"/>
                <w:szCs w:val="21"/>
              </w:rPr>
              <w:t>β</w:t>
            </w:r>
          </w:p>
        </w:tc>
        <w:tc>
          <w:tcPr>
            <w:tcW w:w="859" w:type="dxa"/>
            <w:tcBorders>
              <w:top w:val="single" w:sz="4" w:space="0" w:color="auto"/>
              <w:bottom w:val="single" w:sz="4" w:space="0" w:color="auto"/>
            </w:tcBorders>
            <w:vAlign w:val="center"/>
          </w:tcPr>
          <w:p w14:paraId="5D095530" w14:textId="77777777" w:rsidR="003C6938" w:rsidRPr="00E84D59" w:rsidRDefault="003C6938" w:rsidP="003C6938">
            <w:pPr>
              <w:jc w:val="center"/>
              <w:rPr>
                <w:sz w:val="21"/>
                <w:szCs w:val="21"/>
              </w:rPr>
            </w:pPr>
            <w:r w:rsidRPr="00E84D59">
              <w:rPr>
                <w:i/>
                <w:sz w:val="21"/>
                <w:szCs w:val="21"/>
              </w:rPr>
              <w:t>r</w:t>
            </w:r>
          </w:p>
        </w:tc>
        <w:tc>
          <w:tcPr>
            <w:tcW w:w="943" w:type="dxa"/>
            <w:tcBorders>
              <w:top w:val="single" w:sz="4" w:space="0" w:color="auto"/>
              <w:bottom w:val="single" w:sz="4" w:space="0" w:color="auto"/>
            </w:tcBorders>
            <w:vAlign w:val="center"/>
          </w:tcPr>
          <w:p w14:paraId="4A15FBDC" w14:textId="77777777" w:rsidR="003C6938" w:rsidRPr="00E84D59" w:rsidRDefault="003C6938" w:rsidP="003C6938">
            <w:pPr>
              <w:jc w:val="center"/>
              <w:rPr>
                <w:sz w:val="21"/>
                <w:szCs w:val="21"/>
              </w:rPr>
            </w:pPr>
            <w:r w:rsidRPr="00E84D59">
              <w:rPr>
                <w:sz w:val="21"/>
                <w:szCs w:val="21"/>
              </w:rPr>
              <w:t>β</w:t>
            </w:r>
          </w:p>
        </w:tc>
        <w:tc>
          <w:tcPr>
            <w:tcW w:w="892" w:type="dxa"/>
            <w:tcBorders>
              <w:top w:val="single" w:sz="4" w:space="0" w:color="auto"/>
              <w:bottom w:val="single" w:sz="4" w:space="0" w:color="auto"/>
            </w:tcBorders>
            <w:vAlign w:val="center"/>
          </w:tcPr>
          <w:p w14:paraId="486C1691" w14:textId="77777777" w:rsidR="003C6938" w:rsidRPr="00E84D59" w:rsidRDefault="003C6938" w:rsidP="003C6938">
            <w:pPr>
              <w:jc w:val="center"/>
              <w:rPr>
                <w:sz w:val="21"/>
                <w:szCs w:val="21"/>
              </w:rPr>
            </w:pPr>
            <w:r w:rsidRPr="00E84D59">
              <w:rPr>
                <w:i/>
                <w:sz w:val="21"/>
                <w:szCs w:val="21"/>
              </w:rPr>
              <w:t>r</w:t>
            </w:r>
          </w:p>
        </w:tc>
        <w:tc>
          <w:tcPr>
            <w:tcW w:w="923" w:type="dxa"/>
            <w:tcBorders>
              <w:top w:val="single" w:sz="4" w:space="0" w:color="auto"/>
              <w:bottom w:val="single" w:sz="4" w:space="0" w:color="auto"/>
            </w:tcBorders>
            <w:vAlign w:val="center"/>
          </w:tcPr>
          <w:p w14:paraId="75AA84E0" w14:textId="77777777" w:rsidR="003C6938" w:rsidRPr="00E84D59" w:rsidRDefault="003C6938" w:rsidP="003C6938">
            <w:pPr>
              <w:jc w:val="center"/>
              <w:rPr>
                <w:sz w:val="21"/>
                <w:szCs w:val="21"/>
              </w:rPr>
            </w:pPr>
            <w:r w:rsidRPr="00E84D59">
              <w:rPr>
                <w:sz w:val="21"/>
                <w:szCs w:val="21"/>
              </w:rPr>
              <w:t>β</w:t>
            </w:r>
          </w:p>
        </w:tc>
      </w:tr>
      <w:tr w:rsidR="003C6938" w:rsidRPr="00E84D59" w14:paraId="6E33DCB5" w14:textId="77777777" w:rsidTr="003C6938">
        <w:trPr>
          <w:gridAfter w:val="1"/>
          <w:wAfter w:w="13" w:type="dxa"/>
          <w:trHeight w:val="308"/>
        </w:trPr>
        <w:tc>
          <w:tcPr>
            <w:tcW w:w="2819" w:type="dxa"/>
            <w:vAlign w:val="center"/>
          </w:tcPr>
          <w:p w14:paraId="2559C26A" w14:textId="77777777" w:rsidR="003C6938" w:rsidRPr="00E84D59" w:rsidRDefault="003C6938" w:rsidP="003C6938">
            <w:pPr>
              <w:rPr>
                <w:b/>
                <w:i/>
                <w:sz w:val="21"/>
                <w:szCs w:val="21"/>
              </w:rPr>
            </w:pPr>
            <w:r w:rsidRPr="00E84D59">
              <w:rPr>
                <w:sz w:val="21"/>
                <w:szCs w:val="21"/>
              </w:rPr>
              <w:t>PPI Fearless Dominance</w:t>
            </w:r>
          </w:p>
        </w:tc>
        <w:tc>
          <w:tcPr>
            <w:tcW w:w="870" w:type="dxa"/>
            <w:vAlign w:val="center"/>
          </w:tcPr>
          <w:p w14:paraId="7F843345" w14:textId="77777777" w:rsidR="003C6938" w:rsidRPr="005A5B5E" w:rsidRDefault="003C6938" w:rsidP="003C6938">
            <w:pPr>
              <w:jc w:val="center"/>
              <w:rPr>
                <w:sz w:val="21"/>
                <w:szCs w:val="21"/>
              </w:rPr>
            </w:pPr>
            <w:r>
              <w:rPr>
                <w:b/>
                <w:sz w:val="21"/>
                <w:szCs w:val="21"/>
              </w:rPr>
              <w:t xml:space="preserve">.27 </w:t>
            </w:r>
            <w:r>
              <w:rPr>
                <w:sz w:val="21"/>
                <w:szCs w:val="21"/>
              </w:rPr>
              <w:t>(.04)</w:t>
            </w:r>
          </w:p>
        </w:tc>
        <w:tc>
          <w:tcPr>
            <w:tcW w:w="872" w:type="dxa"/>
            <w:vAlign w:val="center"/>
          </w:tcPr>
          <w:p w14:paraId="0DAFEB4F" w14:textId="77777777" w:rsidR="003C6938" w:rsidRPr="005A5B5E" w:rsidRDefault="003C6938" w:rsidP="003C6938">
            <w:pPr>
              <w:jc w:val="center"/>
              <w:rPr>
                <w:sz w:val="21"/>
                <w:szCs w:val="21"/>
              </w:rPr>
            </w:pPr>
            <w:r>
              <w:rPr>
                <w:i/>
                <w:sz w:val="21"/>
                <w:szCs w:val="21"/>
              </w:rPr>
              <w:t xml:space="preserve">.10 </w:t>
            </w:r>
            <w:r>
              <w:rPr>
                <w:sz w:val="21"/>
                <w:szCs w:val="21"/>
              </w:rPr>
              <w:t>(.04)</w:t>
            </w:r>
          </w:p>
        </w:tc>
        <w:tc>
          <w:tcPr>
            <w:tcW w:w="891" w:type="dxa"/>
            <w:vAlign w:val="center"/>
          </w:tcPr>
          <w:p w14:paraId="30E2F850" w14:textId="77777777" w:rsidR="003C6938" w:rsidRPr="005A5B5E" w:rsidRDefault="003C6938" w:rsidP="003C6938">
            <w:pPr>
              <w:jc w:val="center"/>
              <w:rPr>
                <w:i/>
                <w:sz w:val="21"/>
                <w:szCs w:val="21"/>
              </w:rPr>
            </w:pPr>
            <w:r w:rsidRPr="00E84D59">
              <w:rPr>
                <w:b/>
                <w:sz w:val="21"/>
                <w:szCs w:val="21"/>
              </w:rPr>
              <w:t>.38</w:t>
            </w:r>
            <w:r>
              <w:rPr>
                <w:b/>
                <w:sz w:val="21"/>
                <w:szCs w:val="21"/>
              </w:rPr>
              <w:t xml:space="preserve"> </w:t>
            </w:r>
            <w:r>
              <w:rPr>
                <w:sz w:val="21"/>
                <w:szCs w:val="21"/>
              </w:rPr>
              <w:t>(.04)</w:t>
            </w:r>
          </w:p>
        </w:tc>
        <w:tc>
          <w:tcPr>
            <w:tcW w:w="854" w:type="dxa"/>
            <w:vAlign w:val="center"/>
          </w:tcPr>
          <w:p w14:paraId="0E5CDAE6" w14:textId="77777777" w:rsidR="003C6938" w:rsidRPr="00E84D59" w:rsidRDefault="003C6938" w:rsidP="003C6938">
            <w:pPr>
              <w:jc w:val="center"/>
              <w:rPr>
                <w:b/>
                <w:sz w:val="21"/>
                <w:szCs w:val="21"/>
              </w:rPr>
            </w:pPr>
            <w:r>
              <w:rPr>
                <w:b/>
                <w:sz w:val="21"/>
                <w:szCs w:val="21"/>
              </w:rPr>
              <w:t xml:space="preserve">.23 </w:t>
            </w:r>
            <w:r w:rsidRPr="005A5B5E">
              <w:rPr>
                <w:sz w:val="21"/>
                <w:szCs w:val="21"/>
              </w:rPr>
              <w:t>(.04)</w:t>
            </w:r>
          </w:p>
        </w:tc>
        <w:tc>
          <w:tcPr>
            <w:tcW w:w="859" w:type="dxa"/>
            <w:vAlign w:val="center"/>
          </w:tcPr>
          <w:p w14:paraId="1B46681F" w14:textId="77777777" w:rsidR="003C6938" w:rsidRPr="00E71B58" w:rsidRDefault="003C6938" w:rsidP="003C6938">
            <w:pPr>
              <w:jc w:val="center"/>
              <w:rPr>
                <w:sz w:val="21"/>
                <w:szCs w:val="21"/>
              </w:rPr>
            </w:pPr>
            <w:r>
              <w:rPr>
                <w:b/>
                <w:sz w:val="21"/>
                <w:szCs w:val="21"/>
              </w:rPr>
              <w:t xml:space="preserve">.24 </w:t>
            </w:r>
            <w:r>
              <w:rPr>
                <w:sz w:val="21"/>
                <w:szCs w:val="21"/>
              </w:rPr>
              <w:t>(.06)</w:t>
            </w:r>
          </w:p>
        </w:tc>
        <w:tc>
          <w:tcPr>
            <w:tcW w:w="943" w:type="dxa"/>
            <w:vAlign w:val="center"/>
          </w:tcPr>
          <w:p w14:paraId="77153A6F" w14:textId="77777777" w:rsidR="003C6938" w:rsidRPr="00E71B58" w:rsidRDefault="003C6938" w:rsidP="003C6938">
            <w:pPr>
              <w:jc w:val="center"/>
              <w:rPr>
                <w:sz w:val="21"/>
                <w:szCs w:val="21"/>
              </w:rPr>
            </w:pPr>
            <w:r>
              <w:rPr>
                <w:i/>
                <w:sz w:val="21"/>
                <w:szCs w:val="21"/>
              </w:rPr>
              <w:t xml:space="preserve">.15 </w:t>
            </w:r>
            <w:r>
              <w:rPr>
                <w:sz w:val="21"/>
                <w:szCs w:val="21"/>
              </w:rPr>
              <w:t>(.05)</w:t>
            </w:r>
          </w:p>
        </w:tc>
        <w:tc>
          <w:tcPr>
            <w:tcW w:w="892" w:type="dxa"/>
            <w:vAlign w:val="center"/>
          </w:tcPr>
          <w:p w14:paraId="046FB7FA" w14:textId="77777777" w:rsidR="003C6938" w:rsidRPr="00E71B58" w:rsidRDefault="003C6938" w:rsidP="003C6938">
            <w:pPr>
              <w:jc w:val="center"/>
              <w:rPr>
                <w:i/>
                <w:sz w:val="21"/>
                <w:szCs w:val="21"/>
              </w:rPr>
            </w:pPr>
            <w:r w:rsidRPr="00E84D59">
              <w:rPr>
                <w:b/>
                <w:sz w:val="21"/>
                <w:szCs w:val="21"/>
              </w:rPr>
              <w:t>.28</w:t>
            </w:r>
            <w:r>
              <w:rPr>
                <w:b/>
                <w:sz w:val="21"/>
                <w:szCs w:val="21"/>
              </w:rPr>
              <w:t xml:space="preserve"> </w:t>
            </w:r>
            <w:r>
              <w:rPr>
                <w:sz w:val="21"/>
                <w:szCs w:val="21"/>
              </w:rPr>
              <w:t>(.06)</w:t>
            </w:r>
          </w:p>
        </w:tc>
        <w:tc>
          <w:tcPr>
            <w:tcW w:w="923" w:type="dxa"/>
            <w:vAlign w:val="center"/>
          </w:tcPr>
          <w:p w14:paraId="4CF1AAD7" w14:textId="77777777" w:rsidR="003C6938" w:rsidRPr="00E84D59" w:rsidRDefault="003C6938" w:rsidP="003C6938">
            <w:pPr>
              <w:jc w:val="center"/>
              <w:rPr>
                <w:i/>
                <w:sz w:val="21"/>
                <w:szCs w:val="21"/>
              </w:rPr>
            </w:pPr>
            <w:r w:rsidRPr="00E84D59">
              <w:rPr>
                <w:sz w:val="21"/>
                <w:szCs w:val="21"/>
              </w:rPr>
              <w:t>.17</w:t>
            </w:r>
            <w:r>
              <w:rPr>
                <w:sz w:val="21"/>
                <w:szCs w:val="21"/>
              </w:rPr>
              <w:t xml:space="preserve"> (.05)</w:t>
            </w:r>
          </w:p>
        </w:tc>
      </w:tr>
      <w:tr w:rsidR="003C6938" w:rsidRPr="00E84D59" w14:paraId="1A98829D" w14:textId="77777777" w:rsidTr="003C6938">
        <w:trPr>
          <w:gridAfter w:val="1"/>
          <w:wAfter w:w="13" w:type="dxa"/>
          <w:trHeight w:val="308"/>
        </w:trPr>
        <w:tc>
          <w:tcPr>
            <w:tcW w:w="2819" w:type="dxa"/>
            <w:vAlign w:val="center"/>
          </w:tcPr>
          <w:p w14:paraId="56A70D74" w14:textId="77777777" w:rsidR="003C6938" w:rsidRPr="00E84D59" w:rsidRDefault="003C6938" w:rsidP="003C6938">
            <w:pPr>
              <w:rPr>
                <w:b/>
                <w:i/>
                <w:sz w:val="21"/>
                <w:szCs w:val="21"/>
              </w:rPr>
            </w:pPr>
            <w:r w:rsidRPr="00E84D59">
              <w:rPr>
                <w:sz w:val="21"/>
                <w:szCs w:val="21"/>
              </w:rPr>
              <w:t>PPI Self-centered Impulsivity</w:t>
            </w:r>
          </w:p>
        </w:tc>
        <w:tc>
          <w:tcPr>
            <w:tcW w:w="870" w:type="dxa"/>
            <w:vAlign w:val="center"/>
          </w:tcPr>
          <w:p w14:paraId="61BC052A" w14:textId="77777777" w:rsidR="003C6938" w:rsidRPr="005A5B5E" w:rsidRDefault="003C6938" w:rsidP="003C6938">
            <w:pPr>
              <w:jc w:val="center"/>
              <w:rPr>
                <w:sz w:val="21"/>
                <w:szCs w:val="21"/>
              </w:rPr>
            </w:pPr>
            <w:r w:rsidRPr="000B529A">
              <w:rPr>
                <w:b/>
                <w:sz w:val="21"/>
                <w:szCs w:val="21"/>
              </w:rPr>
              <w:t>.66</w:t>
            </w:r>
            <w:r>
              <w:rPr>
                <w:b/>
                <w:sz w:val="21"/>
                <w:szCs w:val="21"/>
              </w:rPr>
              <w:t xml:space="preserve"> </w:t>
            </w:r>
            <w:r>
              <w:rPr>
                <w:sz w:val="21"/>
                <w:szCs w:val="21"/>
              </w:rPr>
              <w:t>(.03)</w:t>
            </w:r>
          </w:p>
        </w:tc>
        <w:tc>
          <w:tcPr>
            <w:tcW w:w="872" w:type="dxa"/>
            <w:vAlign w:val="center"/>
          </w:tcPr>
          <w:p w14:paraId="051EF6ED" w14:textId="77777777" w:rsidR="003C6938" w:rsidRPr="00FF3364" w:rsidRDefault="003C6938" w:rsidP="003C6938">
            <w:pPr>
              <w:jc w:val="center"/>
              <w:rPr>
                <w:b/>
                <w:sz w:val="21"/>
                <w:szCs w:val="21"/>
              </w:rPr>
            </w:pPr>
            <w:r w:rsidRPr="00FF3364">
              <w:rPr>
                <w:b/>
                <w:sz w:val="21"/>
                <w:szCs w:val="21"/>
              </w:rPr>
              <w:t>.55</w:t>
            </w:r>
            <w:r>
              <w:rPr>
                <w:b/>
                <w:sz w:val="21"/>
                <w:szCs w:val="21"/>
              </w:rPr>
              <w:t xml:space="preserve"> </w:t>
            </w:r>
            <w:r w:rsidRPr="005A5B5E">
              <w:rPr>
                <w:sz w:val="21"/>
                <w:szCs w:val="21"/>
              </w:rPr>
              <w:t>(.04)</w:t>
            </w:r>
          </w:p>
        </w:tc>
        <w:tc>
          <w:tcPr>
            <w:tcW w:w="891" w:type="dxa"/>
            <w:vAlign w:val="center"/>
          </w:tcPr>
          <w:p w14:paraId="0FF38D56" w14:textId="77777777" w:rsidR="003C6938" w:rsidRPr="005A5B5E" w:rsidRDefault="003C6938" w:rsidP="003C6938">
            <w:pPr>
              <w:jc w:val="center"/>
              <w:rPr>
                <w:i/>
                <w:sz w:val="21"/>
                <w:szCs w:val="21"/>
              </w:rPr>
            </w:pPr>
            <w:r w:rsidRPr="00E84D59">
              <w:rPr>
                <w:b/>
                <w:sz w:val="21"/>
                <w:szCs w:val="21"/>
              </w:rPr>
              <w:t>.72</w:t>
            </w:r>
            <w:r>
              <w:rPr>
                <w:b/>
                <w:sz w:val="21"/>
                <w:szCs w:val="21"/>
              </w:rPr>
              <w:t xml:space="preserve"> </w:t>
            </w:r>
            <w:r>
              <w:rPr>
                <w:sz w:val="21"/>
                <w:szCs w:val="21"/>
              </w:rPr>
              <w:t>(.02)</w:t>
            </w:r>
          </w:p>
        </w:tc>
        <w:tc>
          <w:tcPr>
            <w:tcW w:w="854" w:type="dxa"/>
            <w:vAlign w:val="center"/>
          </w:tcPr>
          <w:p w14:paraId="0D81C84E" w14:textId="77777777" w:rsidR="003C6938" w:rsidRPr="005A5B5E" w:rsidRDefault="003C6938" w:rsidP="003C6938">
            <w:pPr>
              <w:jc w:val="center"/>
              <w:rPr>
                <w:sz w:val="21"/>
                <w:szCs w:val="21"/>
              </w:rPr>
            </w:pPr>
            <w:r>
              <w:rPr>
                <w:b/>
                <w:sz w:val="21"/>
                <w:szCs w:val="21"/>
              </w:rPr>
              <w:t xml:space="preserve">.66 </w:t>
            </w:r>
            <w:r>
              <w:rPr>
                <w:sz w:val="21"/>
                <w:szCs w:val="21"/>
              </w:rPr>
              <w:t>(.03)</w:t>
            </w:r>
          </w:p>
        </w:tc>
        <w:tc>
          <w:tcPr>
            <w:tcW w:w="859" w:type="dxa"/>
            <w:vAlign w:val="center"/>
          </w:tcPr>
          <w:p w14:paraId="46EE0452" w14:textId="77777777" w:rsidR="003C6938" w:rsidRPr="00E71B58" w:rsidRDefault="003C6938" w:rsidP="003C6938">
            <w:pPr>
              <w:jc w:val="center"/>
              <w:rPr>
                <w:sz w:val="21"/>
                <w:szCs w:val="21"/>
              </w:rPr>
            </w:pPr>
            <w:r>
              <w:rPr>
                <w:b/>
                <w:sz w:val="21"/>
                <w:szCs w:val="21"/>
              </w:rPr>
              <w:t xml:space="preserve">.59 </w:t>
            </w:r>
            <w:r>
              <w:rPr>
                <w:sz w:val="21"/>
                <w:szCs w:val="21"/>
              </w:rPr>
              <w:t>(.04)</w:t>
            </w:r>
          </w:p>
        </w:tc>
        <w:tc>
          <w:tcPr>
            <w:tcW w:w="943" w:type="dxa"/>
            <w:vAlign w:val="center"/>
          </w:tcPr>
          <w:p w14:paraId="3428892B" w14:textId="77777777" w:rsidR="003C6938" w:rsidRPr="00E71B58" w:rsidRDefault="003C6938" w:rsidP="003C6938">
            <w:pPr>
              <w:jc w:val="center"/>
              <w:rPr>
                <w:sz w:val="21"/>
                <w:szCs w:val="21"/>
              </w:rPr>
            </w:pPr>
            <w:r>
              <w:rPr>
                <w:b/>
                <w:sz w:val="21"/>
                <w:szCs w:val="21"/>
              </w:rPr>
              <w:t xml:space="preserve">.44 </w:t>
            </w:r>
            <w:r>
              <w:rPr>
                <w:sz w:val="21"/>
                <w:szCs w:val="21"/>
              </w:rPr>
              <w:t>(.05)</w:t>
            </w:r>
          </w:p>
        </w:tc>
        <w:tc>
          <w:tcPr>
            <w:tcW w:w="892" w:type="dxa"/>
            <w:vAlign w:val="center"/>
          </w:tcPr>
          <w:p w14:paraId="12230620" w14:textId="77777777" w:rsidR="003C6938" w:rsidRPr="00E71B58" w:rsidRDefault="003C6938" w:rsidP="003C6938">
            <w:pPr>
              <w:jc w:val="center"/>
              <w:rPr>
                <w:i/>
                <w:sz w:val="21"/>
                <w:szCs w:val="21"/>
              </w:rPr>
            </w:pPr>
            <w:r>
              <w:rPr>
                <w:b/>
                <w:sz w:val="21"/>
                <w:szCs w:val="21"/>
              </w:rPr>
              <w:t xml:space="preserve">.65 </w:t>
            </w:r>
            <w:r>
              <w:rPr>
                <w:sz w:val="21"/>
                <w:szCs w:val="21"/>
              </w:rPr>
              <w:t>(.04)</w:t>
            </w:r>
          </w:p>
        </w:tc>
        <w:tc>
          <w:tcPr>
            <w:tcW w:w="923" w:type="dxa"/>
            <w:vAlign w:val="center"/>
          </w:tcPr>
          <w:p w14:paraId="64AEA262" w14:textId="77777777" w:rsidR="003C6938" w:rsidRPr="00E71B58" w:rsidRDefault="003C6938" w:rsidP="003C6938">
            <w:pPr>
              <w:jc w:val="center"/>
              <w:rPr>
                <w:i/>
                <w:sz w:val="21"/>
                <w:szCs w:val="21"/>
              </w:rPr>
            </w:pPr>
            <w:r w:rsidRPr="00E84D59">
              <w:rPr>
                <w:b/>
                <w:sz w:val="21"/>
                <w:szCs w:val="21"/>
              </w:rPr>
              <w:t>.57</w:t>
            </w:r>
            <w:r>
              <w:rPr>
                <w:b/>
                <w:sz w:val="21"/>
                <w:szCs w:val="21"/>
              </w:rPr>
              <w:t xml:space="preserve"> </w:t>
            </w:r>
            <w:r>
              <w:rPr>
                <w:sz w:val="21"/>
                <w:szCs w:val="21"/>
              </w:rPr>
              <w:t>(.05)</w:t>
            </w:r>
          </w:p>
        </w:tc>
      </w:tr>
      <w:tr w:rsidR="003C6938" w:rsidRPr="00E84D59" w14:paraId="7110F9BD" w14:textId="77777777" w:rsidTr="003C6938">
        <w:trPr>
          <w:gridAfter w:val="1"/>
          <w:wAfter w:w="13" w:type="dxa"/>
          <w:trHeight w:val="308"/>
        </w:trPr>
        <w:tc>
          <w:tcPr>
            <w:tcW w:w="2819" w:type="dxa"/>
            <w:vAlign w:val="center"/>
          </w:tcPr>
          <w:p w14:paraId="67D781EC" w14:textId="77777777" w:rsidR="003C6938" w:rsidRPr="00E84D59" w:rsidRDefault="003C6938" w:rsidP="003C6938">
            <w:pPr>
              <w:rPr>
                <w:b/>
                <w:i/>
                <w:sz w:val="21"/>
                <w:szCs w:val="21"/>
              </w:rPr>
            </w:pPr>
            <w:r w:rsidRPr="00E84D59">
              <w:rPr>
                <w:sz w:val="21"/>
                <w:szCs w:val="21"/>
              </w:rPr>
              <w:t>PPI Coldheartedness</w:t>
            </w:r>
          </w:p>
        </w:tc>
        <w:tc>
          <w:tcPr>
            <w:tcW w:w="870" w:type="dxa"/>
            <w:vAlign w:val="center"/>
          </w:tcPr>
          <w:p w14:paraId="51A0201D" w14:textId="77777777" w:rsidR="003C6938" w:rsidRPr="005A5B5E" w:rsidRDefault="003C6938" w:rsidP="003C6938">
            <w:pPr>
              <w:jc w:val="center"/>
              <w:rPr>
                <w:sz w:val="21"/>
                <w:szCs w:val="21"/>
              </w:rPr>
            </w:pPr>
            <w:r w:rsidRPr="000B529A">
              <w:rPr>
                <w:b/>
                <w:sz w:val="21"/>
                <w:szCs w:val="21"/>
              </w:rPr>
              <w:t>.38</w:t>
            </w:r>
            <w:r>
              <w:rPr>
                <w:b/>
                <w:sz w:val="21"/>
                <w:szCs w:val="21"/>
              </w:rPr>
              <w:t xml:space="preserve"> </w:t>
            </w:r>
            <w:r>
              <w:rPr>
                <w:sz w:val="21"/>
                <w:szCs w:val="21"/>
              </w:rPr>
              <w:t>(.04)</w:t>
            </w:r>
          </w:p>
        </w:tc>
        <w:tc>
          <w:tcPr>
            <w:tcW w:w="872" w:type="dxa"/>
            <w:vAlign w:val="center"/>
          </w:tcPr>
          <w:p w14:paraId="06FCC929" w14:textId="77777777" w:rsidR="003C6938" w:rsidRPr="00FF3364" w:rsidRDefault="003C6938" w:rsidP="003C6938">
            <w:pPr>
              <w:jc w:val="center"/>
              <w:rPr>
                <w:sz w:val="21"/>
                <w:szCs w:val="21"/>
              </w:rPr>
            </w:pPr>
            <w:r w:rsidRPr="00FF3364">
              <w:rPr>
                <w:sz w:val="21"/>
                <w:szCs w:val="21"/>
              </w:rPr>
              <w:t>.10</w:t>
            </w:r>
            <w:r>
              <w:rPr>
                <w:sz w:val="21"/>
                <w:szCs w:val="21"/>
              </w:rPr>
              <w:t xml:space="preserve"> (.04)</w:t>
            </w:r>
          </w:p>
        </w:tc>
        <w:tc>
          <w:tcPr>
            <w:tcW w:w="891" w:type="dxa"/>
            <w:vAlign w:val="center"/>
          </w:tcPr>
          <w:p w14:paraId="2ABDEE75" w14:textId="77777777" w:rsidR="003C6938" w:rsidRPr="005A5B5E" w:rsidRDefault="003C6938" w:rsidP="003C6938">
            <w:pPr>
              <w:jc w:val="center"/>
              <w:rPr>
                <w:i/>
                <w:sz w:val="21"/>
                <w:szCs w:val="21"/>
              </w:rPr>
            </w:pPr>
            <w:r w:rsidRPr="00E84D59">
              <w:rPr>
                <w:b/>
                <w:sz w:val="21"/>
                <w:szCs w:val="21"/>
              </w:rPr>
              <w:t>.19</w:t>
            </w:r>
            <w:r>
              <w:rPr>
                <w:b/>
                <w:sz w:val="21"/>
                <w:szCs w:val="21"/>
              </w:rPr>
              <w:t xml:space="preserve"> </w:t>
            </w:r>
            <w:r>
              <w:rPr>
                <w:sz w:val="21"/>
                <w:szCs w:val="21"/>
              </w:rPr>
              <w:t>(.05)</w:t>
            </w:r>
          </w:p>
        </w:tc>
        <w:tc>
          <w:tcPr>
            <w:tcW w:w="854" w:type="dxa"/>
            <w:vAlign w:val="center"/>
          </w:tcPr>
          <w:p w14:paraId="5371B9B2" w14:textId="77777777" w:rsidR="003C6938" w:rsidRPr="00FF3364" w:rsidRDefault="003C6938" w:rsidP="003C6938">
            <w:pPr>
              <w:jc w:val="center"/>
              <w:rPr>
                <w:sz w:val="21"/>
                <w:szCs w:val="21"/>
              </w:rPr>
            </w:pPr>
            <w:r w:rsidRPr="00FF3364">
              <w:rPr>
                <w:sz w:val="21"/>
                <w:szCs w:val="21"/>
              </w:rPr>
              <w:t>-.05</w:t>
            </w:r>
            <w:r>
              <w:rPr>
                <w:sz w:val="21"/>
                <w:szCs w:val="21"/>
              </w:rPr>
              <w:t xml:space="preserve"> (.04) </w:t>
            </w:r>
          </w:p>
        </w:tc>
        <w:tc>
          <w:tcPr>
            <w:tcW w:w="859" w:type="dxa"/>
            <w:vAlign w:val="center"/>
          </w:tcPr>
          <w:p w14:paraId="4CEDCE89" w14:textId="77777777" w:rsidR="003C6938" w:rsidRPr="00E71B58" w:rsidRDefault="003C6938" w:rsidP="003C6938">
            <w:pPr>
              <w:jc w:val="center"/>
              <w:rPr>
                <w:sz w:val="21"/>
                <w:szCs w:val="21"/>
              </w:rPr>
            </w:pPr>
            <w:r w:rsidRPr="006274A2">
              <w:rPr>
                <w:b/>
                <w:sz w:val="21"/>
                <w:szCs w:val="21"/>
              </w:rPr>
              <w:t>.42</w:t>
            </w:r>
            <w:r>
              <w:rPr>
                <w:b/>
                <w:sz w:val="21"/>
                <w:szCs w:val="21"/>
              </w:rPr>
              <w:t xml:space="preserve"> </w:t>
            </w:r>
            <w:r>
              <w:rPr>
                <w:sz w:val="21"/>
                <w:szCs w:val="21"/>
              </w:rPr>
              <w:t>(.04)</w:t>
            </w:r>
          </w:p>
        </w:tc>
        <w:tc>
          <w:tcPr>
            <w:tcW w:w="943" w:type="dxa"/>
            <w:vAlign w:val="center"/>
          </w:tcPr>
          <w:p w14:paraId="5A1934AF" w14:textId="77777777" w:rsidR="003C6938" w:rsidRPr="00E71B58" w:rsidRDefault="003C6938" w:rsidP="003C6938">
            <w:pPr>
              <w:jc w:val="center"/>
              <w:rPr>
                <w:sz w:val="21"/>
                <w:szCs w:val="21"/>
              </w:rPr>
            </w:pPr>
            <w:r w:rsidRPr="00693428">
              <w:rPr>
                <w:b/>
                <w:i/>
                <w:sz w:val="21"/>
                <w:szCs w:val="21"/>
              </w:rPr>
              <w:t>.</w:t>
            </w:r>
            <w:r w:rsidRPr="00693428">
              <w:rPr>
                <w:b/>
                <w:sz w:val="21"/>
                <w:szCs w:val="21"/>
              </w:rPr>
              <w:t>22</w:t>
            </w:r>
            <w:r>
              <w:rPr>
                <w:b/>
                <w:sz w:val="21"/>
                <w:szCs w:val="21"/>
              </w:rPr>
              <w:t xml:space="preserve"> </w:t>
            </w:r>
            <w:r>
              <w:rPr>
                <w:sz w:val="21"/>
                <w:szCs w:val="21"/>
              </w:rPr>
              <w:t>(.05)</w:t>
            </w:r>
          </w:p>
        </w:tc>
        <w:tc>
          <w:tcPr>
            <w:tcW w:w="892" w:type="dxa"/>
            <w:vAlign w:val="center"/>
          </w:tcPr>
          <w:p w14:paraId="14071264" w14:textId="77777777" w:rsidR="003C6938" w:rsidRPr="00E71B58" w:rsidRDefault="003C6938" w:rsidP="003C6938">
            <w:pPr>
              <w:jc w:val="center"/>
              <w:rPr>
                <w:i/>
                <w:sz w:val="21"/>
                <w:szCs w:val="21"/>
              </w:rPr>
            </w:pPr>
            <w:r w:rsidRPr="00E84D59">
              <w:rPr>
                <w:b/>
                <w:sz w:val="21"/>
                <w:szCs w:val="21"/>
              </w:rPr>
              <w:t>.30</w:t>
            </w:r>
            <w:r>
              <w:rPr>
                <w:b/>
                <w:sz w:val="21"/>
                <w:szCs w:val="21"/>
              </w:rPr>
              <w:t xml:space="preserve"> </w:t>
            </w:r>
            <w:r>
              <w:rPr>
                <w:sz w:val="21"/>
                <w:szCs w:val="21"/>
              </w:rPr>
              <w:t>(.05)</w:t>
            </w:r>
          </w:p>
        </w:tc>
        <w:tc>
          <w:tcPr>
            <w:tcW w:w="923" w:type="dxa"/>
            <w:vAlign w:val="center"/>
          </w:tcPr>
          <w:p w14:paraId="6E59409F" w14:textId="77777777" w:rsidR="003C6938" w:rsidRPr="00E84D59" w:rsidRDefault="003C6938" w:rsidP="003C6938">
            <w:pPr>
              <w:jc w:val="center"/>
              <w:rPr>
                <w:i/>
                <w:sz w:val="21"/>
                <w:szCs w:val="21"/>
              </w:rPr>
            </w:pPr>
            <w:r w:rsidRPr="00E84D59">
              <w:rPr>
                <w:sz w:val="21"/>
                <w:szCs w:val="21"/>
              </w:rPr>
              <w:t>.07</w:t>
            </w:r>
            <w:r>
              <w:rPr>
                <w:sz w:val="21"/>
                <w:szCs w:val="21"/>
              </w:rPr>
              <w:t xml:space="preserve"> (.05)</w:t>
            </w:r>
          </w:p>
        </w:tc>
      </w:tr>
      <w:tr w:rsidR="003C6938" w:rsidRPr="00E84D59" w14:paraId="0591427A" w14:textId="77777777" w:rsidTr="003C6938">
        <w:trPr>
          <w:gridAfter w:val="1"/>
          <w:wAfter w:w="13" w:type="dxa"/>
          <w:trHeight w:val="308"/>
        </w:trPr>
        <w:tc>
          <w:tcPr>
            <w:tcW w:w="2819" w:type="dxa"/>
            <w:vAlign w:val="center"/>
          </w:tcPr>
          <w:p w14:paraId="3349A9BE" w14:textId="77777777" w:rsidR="003C6938" w:rsidRPr="00E84D59" w:rsidRDefault="003C6938" w:rsidP="003C6938">
            <w:pPr>
              <w:rPr>
                <w:sz w:val="21"/>
                <w:szCs w:val="21"/>
              </w:rPr>
            </w:pPr>
          </w:p>
        </w:tc>
        <w:tc>
          <w:tcPr>
            <w:tcW w:w="870" w:type="dxa"/>
            <w:vAlign w:val="center"/>
          </w:tcPr>
          <w:p w14:paraId="2C01AF06" w14:textId="77777777" w:rsidR="003C6938" w:rsidRPr="000B2335" w:rsidRDefault="003C6938" w:rsidP="003C6938">
            <w:pPr>
              <w:jc w:val="center"/>
              <w:rPr>
                <w:b/>
                <w:sz w:val="21"/>
                <w:szCs w:val="21"/>
              </w:rPr>
            </w:pPr>
          </w:p>
        </w:tc>
        <w:tc>
          <w:tcPr>
            <w:tcW w:w="872" w:type="dxa"/>
            <w:vAlign w:val="center"/>
          </w:tcPr>
          <w:p w14:paraId="57A43A37" w14:textId="77777777" w:rsidR="003C6938" w:rsidRPr="00E84D59" w:rsidRDefault="003C6938" w:rsidP="003C6938">
            <w:pPr>
              <w:jc w:val="center"/>
              <w:rPr>
                <w:i/>
                <w:sz w:val="21"/>
                <w:szCs w:val="21"/>
              </w:rPr>
            </w:pPr>
          </w:p>
        </w:tc>
        <w:tc>
          <w:tcPr>
            <w:tcW w:w="891" w:type="dxa"/>
            <w:vAlign w:val="center"/>
          </w:tcPr>
          <w:p w14:paraId="525A434B" w14:textId="77777777" w:rsidR="003C6938" w:rsidRPr="00E84D59" w:rsidRDefault="003C6938" w:rsidP="003C6938">
            <w:pPr>
              <w:jc w:val="center"/>
              <w:rPr>
                <w:i/>
                <w:sz w:val="21"/>
                <w:szCs w:val="21"/>
              </w:rPr>
            </w:pPr>
          </w:p>
        </w:tc>
        <w:tc>
          <w:tcPr>
            <w:tcW w:w="854" w:type="dxa"/>
            <w:vAlign w:val="center"/>
          </w:tcPr>
          <w:p w14:paraId="6BD482FD" w14:textId="77777777" w:rsidR="003C6938" w:rsidRPr="00E84D59" w:rsidRDefault="003C6938" w:rsidP="003C6938">
            <w:pPr>
              <w:jc w:val="center"/>
              <w:rPr>
                <w:b/>
                <w:sz w:val="21"/>
                <w:szCs w:val="21"/>
              </w:rPr>
            </w:pPr>
          </w:p>
        </w:tc>
        <w:tc>
          <w:tcPr>
            <w:tcW w:w="859" w:type="dxa"/>
            <w:vAlign w:val="center"/>
          </w:tcPr>
          <w:p w14:paraId="52B20F95" w14:textId="77777777" w:rsidR="003C6938" w:rsidRPr="006274A2" w:rsidRDefault="003C6938" w:rsidP="003C6938">
            <w:pPr>
              <w:jc w:val="center"/>
              <w:rPr>
                <w:b/>
                <w:sz w:val="21"/>
                <w:szCs w:val="21"/>
              </w:rPr>
            </w:pPr>
          </w:p>
        </w:tc>
        <w:tc>
          <w:tcPr>
            <w:tcW w:w="943" w:type="dxa"/>
            <w:vAlign w:val="center"/>
          </w:tcPr>
          <w:p w14:paraId="140CA1B8" w14:textId="77777777" w:rsidR="003C6938" w:rsidRPr="00E84D59" w:rsidRDefault="003C6938" w:rsidP="003C6938">
            <w:pPr>
              <w:jc w:val="center"/>
              <w:rPr>
                <w:i/>
                <w:sz w:val="21"/>
                <w:szCs w:val="21"/>
              </w:rPr>
            </w:pPr>
          </w:p>
        </w:tc>
        <w:tc>
          <w:tcPr>
            <w:tcW w:w="892" w:type="dxa"/>
            <w:vAlign w:val="center"/>
          </w:tcPr>
          <w:p w14:paraId="43A4DA79" w14:textId="77777777" w:rsidR="003C6938" w:rsidRPr="00E84D59" w:rsidRDefault="003C6938" w:rsidP="003C6938">
            <w:pPr>
              <w:jc w:val="center"/>
              <w:rPr>
                <w:i/>
                <w:sz w:val="21"/>
                <w:szCs w:val="21"/>
              </w:rPr>
            </w:pPr>
          </w:p>
        </w:tc>
        <w:tc>
          <w:tcPr>
            <w:tcW w:w="923" w:type="dxa"/>
            <w:vAlign w:val="center"/>
          </w:tcPr>
          <w:p w14:paraId="265E2A80" w14:textId="77777777" w:rsidR="003C6938" w:rsidRPr="00E84D59" w:rsidRDefault="003C6938" w:rsidP="003C6938">
            <w:pPr>
              <w:jc w:val="center"/>
              <w:rPr>
                <w:i/>
                <w:sz w:val="21"/>
                <w:szCs w:val="21"/>
              </w:rPr>
            </w:pPr>
          </w:p>
        </w:tc>
      </w:tr>
      <w:tr w:rsidR="003C6938" w:rsidRPr="00E84D59" w14:paraId="603061C3" w14:textId="77777777" w:rsidTr="003C6938">
        <w:trPr>
          <w:gridAfter w:val="1"/>
          <w:wAfter w:w="13" w:type="dxa"/>
          <w:trHeight w:val="308"/>
        </w:trPr>
        <w:tc>
          <w:tcPr>
            <w:tcW w:w="2819" w:type="dxa"/>
            <w:vAlign w:val="center"/>
          </w:tcPr>
          <w:p w14:paraId="30AFEADC" w14:textId="77777777" w:rsidR="003C6938" w:rsidRPr="00E84D59" w:rsidRDefault="003C6938" w:rsidP="003C6938">
            <w:pPr>
              <w:rPr>
                <w:sz w:val="21"/>
                <w:szCs w:val="21"/>
              </w:rPr>
            </w:pPr>
            <w:r w:rsidRPr="00E84D59">
              <w:rPr>
                <w:sz w:val="21"/>
                <w:szCs w:val="21"/>
              </w:rPr>
              <w:t>TriPM Boldness</w:t>
            </w:r>
          </w:p>
        </w:tc>
        <w:tc>
          <w:tcPr>
            <w:tcW w:w="870" w:type="dxa"/>
            <w:vAlign w:val="center"/>
          </w:tcPr>
          <w:p w14:paraId="67D1B7A9" w14:textId="77777777" w:rsidR="003C6938" w:rsidRPr="00E71B58" w:rsidRDefault="003C6938" w:rsidP="003C6938">
            <w:pPr>
              <w:jc w:val="center"/>
              <w:rPr>
                <w:sz w:val="21"/>
                <w:szCs w:val="21"/>
              </w:rPr>
            </w:pPr>
            <w:r w:rsidRPr="000B529A">
              <w:rPr>
                <w:i/>
                <w:sz w:val="21"/>
                <w:szCs w:val="21"/>
              </w:rPr>
              <w:t>.12</w:t>
            </w:r>
            <w:r>
              <w:rPr>
                <w:i/>
                <w:sz w:val="21"/>
                <w:szCs w:val="21"/>
              </w:rPr>
              <w:t xml:space="preserve"> </w:t>
            </w:r>
            <w:r>
              <w:rPr>
                <w:sz w:val="21"/>
                <w:szCs w:val="21"/>
              </w:rPr>
              <w:t>(.05)</w:t>
            </w:r>
          </w:p>
        </w:tc>
        <w:tc>
          <w:tcPr>
            <w:tcW w:w="872" w:type="dxa"/>
            <w:vAlign w:val="center"/>
          </w:tcPr>
          <w:p w14:paraId="737FC202" w14:textId="77777777" w:rsidR="003C6938" w:rsidRPr="00FF3364" w:rsidRDefault="003C6938" w:rsidP="003C6938">
            <w:pPr>
              <w:jc w:val="center"/>
              <w:rPr>
                <w:sz w:val="21"/>
                <w:szCs w:val="21"/>
              </w:rPr>
            </w:pPr>
            <w:r w:rsidRPr="00FF3364">
              <w:rPr>
                <w:sz w:val="21"/>
                <w:szCs w:val="21"/>
              </w:rPr>
              <w:t>.10</w:t>
            </w:r>
            <w:r>
              <w:rPr>
                <w:sz w:val="21"/>
                <w:szCs w:val="21"/>
              </w:rPr>
              <w:t xml:space="preserve"> (.04)</w:t>
            </w:r>
          </w:p>
        </w:tc>
        <w:tc>
          <w:tcPr>
            <w:tcW w:w="891" w:type="dxa"/>
            <w:vAlign w:val="center"/>
          </w:tcPr>
          <w:p w14:paraId="0742AAFC" w14:textId="77777777" w:rsidR="003C6938" w:rsidRPr="00E71B58" w:rsidRDefault="003C6938" w:rsidP="003C6938">
            <w:pPr>
              <w:jc w:val="center"/>
              <w:rPr>
                <w:sz w:val="21"/>
                <w:szCs w:val="21"/>
              </w:rPr>
            </w:pPr>
            <w:r w:rsidRPr="00E84D59">
              <w:rPr>
                <w:i/>
                <w:sz w:val="21"/>
                <w:szCs w:val="21"/>
              </w:rPr>
              <w:t>.18</w:t>
            </w:r>
            <w:r>
              <w:rPr>
                <w:i/>
                <w:sz w:val="21"/>
                <w:szCs w:val="21"/>
              </w:rPr>
              <w:t xml:space="preserve"> </w:t>
            </w:r>
            <w:r>
              <w:rPr>
                <w:sz w:val="21"/>
                <w:szCs w:val="21"/>
              </w:rPr>
              <w:t>(.05)</w:t>
            </w:r>
          </w:p>
        </w:tc>
        <w:tc>
          <w:tcPr>
            <w:tcW w:w="854" w:type="dxa"/>
            <w:vAlign w:val="center"/>
          </w:tcPr>
          <w:p w14:paraId="23A63A86" w14:textId="77777777" w:rsidR="003C6938" w:rsidRPr="00E71B58" w:rsidRDefault="003C6938" w:rsidP="003C6938">
            <w:pPr>
              <w:jc w:val="center"/>
              <w:rPr>
                <w:sz w:val="21"/>
                <w:szCs w:val="21"/>
              </w:rPr>
            </w:pPr>
            <w:r>
              <w:rPr>
                <w:b/>
                <w:sz w:val="21"/>
                <w:szCs w:val="21"/>
              </w:rPr>
              <w:t>.23</w:t>
            </w:r>
            <w:r>
              <w:rPr>
                <w:sz w:val="21"/>
                <w:szCs w:val="21"/>
              </w:rPr>
              <w:t xml:space="preserve"> (.04)</w:t>
            </w:r>
          </w:p>
        </w:tc>
        <w:tc>
          <w:tcPr>
            <w:tcW w:w="859" w:type="dxa"/>
            <w:vAlign w:val="center"/>
          </w:tcPr>
          <w:p w14:paraId="3B1FEA44" w14:textId="77777777" w:rsidR="003C6938" w:rsidRPr="00E71B58" w:rsidRDefault="003C6938" w:rsidP="003C6938">
            <w:pPr>
              <w:jc w:val="center"/>
              <w:rPr>
                <w:sz w:val="21"/>
                <w:szCs w:val="21"/>
              </w:rPr>
            </w:pPr>
            <w:r>
              <w:rPr>
                <w:i/>
                <w:sz w:val="21"/>
                <w:szCs w:val="21"/>
              </w:rPr>
              <w:t xml:space="preserve">.17 </w:t>
            </w:r>
            <w:r>
              <w:rPr>
                <w:sz w:val="21"/>
                <w:szCs w:val="21"/>
              </w:rPr>
              <w:t>(.06)</w:t>
            </w:r>
          </w:p>
        </w:tc>
        <w:tc>
          <w:tcPr>
            <w:tcW w:w="943" w:type="dxa"/>
            <w:vAlign w:val="center"/>
          </w:tcPr>
          <w:p w14:paraId="526B0666" w14:textId="77777777" w:rsidR="003C6938" w:rsidRPr="00E71B58" w:rsidRDefault="003C6938" w:rsidP="003C6938">
            <w:pPr>
              <w:jc w:val="center"/>
              <w:rPr>
                <w:sz w:val="21"/>
                <w:szCs w:val="21"/>
              </w:rPr>
            </w:pPr>
            <w:r w:rsidRPr="00693428">
              <w:rPr>
                <w:i/>
                <w:sz w:val="21"/>
                <w:szCs w:val="21"/>
              </w:rPr>
              <w:t>.15</w:t>
            </w:r>
            <w:r>
              <w:rPr>
                <w:i/>
                <w:sz w:val="21"/>
                <w:szCs w:val="21"/>
              </w:rPr>
              <w:t xml:space="preserve"> </w:t>
            </w:r>
            <w:r>
              <w:rPr>
                <w:sz w:val="21"/>
                <w:szCs w:val="21"/>
              </w:rPr>
              <w:t>(.06)</w:t>
            </w:r>
          </w:p>
        </w:tc>
        <w:tc>
          <w:tcPr>
            <w:tcW w:w="892" w:type="dxa"/>
            <w:vAlign w:val="center"/>
          </w:tcPr>
          <w:p w14:paraId="6EE14CC5" w14:textId="77777777" w:rsidR="003C6938" w:rsidRPr="00E71B58" w:rsidRDefault="003C6938" w:rsidP="003C6938">
            <w:pPr>
              <w:jc w:val="center"/>
              <w:rPr>
                <w:sz w:val="21"/>
                <w:szCs w:val="21"/>
              </w:rPr>
            </w:pPr>
            <w:r w:rsidRPr="00E84D59">
              <w:rPr>
                <w:i/>
                <w:sz w:val="21"/>
                <w:szCs w:val="21"/>
              </w:rPr>
              <w:t>.17</w:t>
            </w:r>
            <w:r>
              <w:rPr>
                <w:i/>
                <w:sz w:val="21"/>
                <w:szCs w:val="21"/>
              </w:rPr>
              <w:t xml:space="preserve"> </w:t>
            </w:r>
            <w:r>
              <w:rPr>
                <w:sz w:val="21"/>
                <w:szCs w:val="21"/>
              </w:rPr>
              <w:t>(.06)</w:t>
            </w:r>
          </w:p>
        </w:tc>
        <w:tc>
          <w:tcPr>
            <w:tcW w:w="923" w:type="dxa"/>
            <w:vAlign w:val="center"/>
          </w:tcPr>
          <w:p w14:paraId="544B19FA" w14:textId="77777777" w:rsidR="003C6938" w:rsidRPr="00E71B58" w:rsidRDefault="003C6938" w:rsidP="003C6938">
            <w:pPr>
              <w:jc w:val="center"/>
              <w:rPr>
                <w:sz w:val="21"/>
                <w:szCs w:val="21"/>
              </w:rPr>
            </w:pPr>
            <w:r w:rsidRPr="00E84D59">
              <w:rPr>
                <w:i/>
                <w:sz w:val="21"/>
                <w:szCs w:val="21"/>
              </w:rPr>
              <w:t>.17</w:t>
            </w:r>
            <w:r>
              <w:rPr>
                <w:i/>
                <w:sz w:val="21"/>
                <w:szCs w:val="21"/>
              </w:rPr>
              <w:t xml:space="preserve"> </w:t>
            </w:r>
            <w:r>
              <w:rPr>
                <w:sz w:val="21"/>
                <w:szCs w:val="21"/>
              </w:rPr>
              <w:t>(.05)</w:t>
            </w:r>
          </w:p>
        </w:tc>
      </w:tr>
      <w:tr w:rsidR="003C6938" w:rsidRPr="00E84D59" w14:paraId="75E653D5" w14:textId="77777777" w:rsidTr="003C6938">
        <w:trPr>
          <w:gridAfter w:val="1"/>
          <w:wAfter w:w="13" w:type="dxa"/>
          <w:trHeight w:val="308"/>
        </w:trPr>
        <w:tc>
          <w:tcPr>
            <w:tcW w:w="2819" w:type="dxa"/>
            <w:vAlign w:val="center"/>
          </w:tcPr>
          <w:p w14:paraId="3B235CCB" w14:textId="77777777" w:rsidR="003C6938" w:rsidRPr="00E84D59" w:rsidRDefault="003C6938" w:rsidP="003C6938">
            <w:pPr>
              <w:rPr>
                <w:sz w:val="21"/>
                <w:szCs w:val="21"/>
              </w:rPr>
            </w:pPr>
            <w:r w:rsidRPr="00E84D59">
              <w:rPr>
                <w:sz w:val="21"/>
                <w:szCs w:val="21"/>
              </w:rPr>
              <w:t>TriPM Disinhibition</w:t>
            </w:r>
          </w:p>
        </w:tc>
        <w:tc>
          <w:tcPr>
            <w:tcW w:w="870" w:type="dxa"/>
            <w:vAlign w:val="center"/>
          </w:tcPr>
          <w:p w14:paraId="56ABA140" w14:textId="77777777" w:rsidR="003C6938" w:rsidRPr="00E71B58" w:rsidRDefault="003C6938" w:rsidP="003C6938">
            <w:pPr>
              <w:jc w:val="center"/>
              <w:rPr>
                <w:sz w:val="21"/>
                <w:szCs w:val="21"/>
              </w:rPr>
            </w:pPr>
            <w:r>
              <w:rPr>
                <w:b/>
                <w:sz w:val="21"/>
                <w:szCs w:val="21"/>
              </w:rPr>
              <w:t xml:space="preserve">.67 </w:t>
            </w:r>
            <w:r>
              <w:rPr>
                <w:sz w:val="21"/>
                <w:szCs w:val="21"/>
              </w:rPr>
              <w:t>(.03)</w:t>
            </w:r>
          </w:p>
        </w:tc>
        <w:tc>
          <w:tcPr>
            <w:tcW w:w="872" w:type="dxa"/>
            <w:vAlign w:val="center"/>
          </w:tcPr>
          <w:p w14:paraId="1155F55C" w14:textId="77777777" w:rsidR="003C6938" w:rsidRPr="005A5B5E" w:rsidRDefault="003C6938" w:rsidP="003C6938">
            <w:pPr>
              <w:jc w:val="center"/>
              <w:rPr>
                <w:sz w:val="21"/>
                <w:szCs w:val="21"/>
              </w:rPr>
            </w:pPr>
            <w:r>
              <w:rPr>
                <w:b/>
                <w:sz w:val="21"/>
                <w:szCs w:val="21"/>
              </w:rPr>
              <w:t xml:space="preserve">.32 </w:t>
            </w:r>
            <w:r>
              <w:rPr>
                <w:sz w:val="21"/>
                <w:szCs w:val="21"/>
              </w:rPr>
              <w:t>(.08)</w:t>
            </w:r>
          </w:p>
        </w:tc>
        <w:tc>
          <w:tcPr>
            <w:tcW w:w="891" w:type="dxa"/>
            <w:vAlign w:val="center"/>
          </w:tcPr>
          <w:p w14:paraId="29B28D7C" w14:textId="77777777" w:rsidR="003C6938" w:rsidRPr="00E71B58" w:rsidRDefault="003C6938" w:rsidP="003C6938">
            <w:pPr>
              <w:jc w:val="center"/>
              <w:rPr>
                <w:sz w:val="21"/>
                <w:szCs w:val="21"/>
              </w:rPr>
            </w:pPr>
            <w:r>
              <w:rPr>
                <w:b/>
                <w:sz w:val="21"/>
                <w:szCs w:val="21"/>
              </w:rPr>
              <w:t xml:space="preserve">.70 </w:t>
            </w:r>
            <w:r>
              <w:rPr>
                <w:sz w:val="21"/>
                <w:szCs w:val="21"/>
              </w:rPr>
              <w:t>(.03)</w:t>
            </w:r>
          </w:p>
        </w:tc>
        <w:tc>
          <w:tcPr>
            <w:tcW w:w="854" w:type="dxa"/>
            <w:vAlign w:val="center"/>
          </w:tcPr>
          <w:p w14:paraId="41EA9754" w14:textId="77777777" w:rsidR="003C6938" w:rsidRPr="00E71B58" w:rsidRDefault="003C6938" w:rsidP="003C6938">
            <w:pPr>
              <w:jc w:val="center"/>
              <w:rPr>
                <w:sz w:val="21"/>
                <w:szCs w:val="21"/>
              </w:rPr>
            </w:pPr>
            <w:r>
              <w:rPr>
                <w:b/>
                <w:sz w:val="21"/>
                <w:szCs w:val="21"/>
              </w:rPr>
              <w:t xml:space="preserve">.27 </w:t>
            </w:r>
            <w:r>
              <w:rPr>
                <w:sz w:val="21"/>
                <w:szCs w:val="21"/>
              </w:rPr>
              <w:t>(.06)</w:t>
            </w:r>
          </w:p>
        </w:tc>
        <w:tc>
          <w:tcPr>
            <w:tcW w:w="859" w:type="dxa"/>
            <w:vAlign w:val="center"/>
          </w:tcPr>
          <w:p w14:paraId="5FBC3DB7" w14:textId="77777777" w:rsidR="003C6938" w:rsidRPr="00FD5154" w:rsidRDefault="003C6938" w:rsidP="003C6938">
            <w:pPr>
              <w:jc w:val="center"/>
              <w:rPr>
                <w:sz w:val="21"/>
                <w:szCs w:val="21"/>
              </w:rPr>
            </w:pPr>
            <w:r>
              <w:rPr>
                <w:b/>
                <w:sz w:val="21"/>
                <w:szCs w:val="21"/>
              </w:rPr>
              <w:t xml:space="preserve">.48 </w:t>
            </w:r>
            <w:r>
              <w:rPr>
                <w:sz w:val="21"/>
                <w:szCs w:val="21"/>
              </w:rPr>
              <w:t>(.04)</w:t>
            </w:r>
          </w:p>
        </w:tc>
        <w:tc>
          <w:tcPr>
            <w:tcW w:w="943" w:type="dxa"/>
            <w:vAlign w:val="center"/>
          </w:tcPr>
          <w:p w14:paraId="53988B44" w14:textId="77777777" w:rsidR="003C6938" w:rsidRPr="00E71B58" w:rsidRDefault="003C6938" w:rsidP="003C6938">
            <w:pPr>
              <w:jc w:val="center"/>
              <w:rPr>
                <w:sz w:val="21"/>
                <w:szCs w:val="21"/>
              </w:rPr>
            </w:pPr>
            <w:r w:rsidRPr="00693428">
              <w:rPr>
                <w:i/>
                <w:sz w:val="21"/>
                <w:szCs w:val="21"/>
              </w:rPr>
              <w:t>.18</w:t>
            </w:r>
            <w:r>
              <w:rPr>
                <w:i/>
                <w:sz w:val="21"/>
                <w:szCs w:val="21"/>
              </w:rPr>
              <w:t xml:space="preserve"> </w:t>
            </w:r>
            <w:r>
              <w:rPr>
                <w:sz w:val="21"/>
                <w:szCs w:val="21"/>
              </w:rPr>
              <w:t>(.07)</w:t>
            </w:r>
          </w:p>
        </w:tc>
        <w:tc>
          <w:tcPr>
            <w:tcW w:w="892" w:type="dxa"/>
            <w:vAlign w:val="center"/>
          </w:tcPr>
          <w:p w14:paraId="1E239E3A" w14:textId="77777777" w:rsidR="003C6938" w:rsidRPr="00FD5154" w:rsidRDefault="003C6938" w:rsidP="003C6938">
            <w:pPr>
              <w:jc w:val="center"/>
              <w:rPr>
                <w:sz w:val="21"/>
                <w:szCs w:val="21"/>
              </w:rPr>
            </w:pPr>
            <w:r w:rsidRPr="00E84D59">
              <w:rPr>
                <w:b/>
                <w:sz w:val="21"/>
                <w:szCs w:val="21"/>
              </w:rPr>
              <w:t>.59</w:t>
            </w:r>
            <w:r>
              <w:rPr>
                <w:b/>
                <w:sz w:val="21"/>
                <w:szCs w:val="21"/>
              </w:rPr>
              <w:t xml:space="preserve"> </w:t>
            </w:r>
            <w:r>
              <w:rPr>
                <w:sz w:val="21"/>
                <w:szCs w:val="21"/>
              </w:rPr>
              <w:t>(.03)</w:t>
            </w:r>
          </w:p>
        </w:tc>
        <w:tc>
          <w:tcPr>
            <w:tcW w:w="923" w:type="dxa"/>
            <w:vAlign w:val="center"/>
          </w:tcPr>
          <w:p w14:paraId="5779C779" w14:textId="77777777" w:rsidR="003C6938" w:rsidRPr="00E71B58" w:rsidRDefault="003C6938" w:rsidP="003C6938">
            <w:pPr>
              <w:jc w:val="center"/>
              <w:rPr>
                <w:sz w:val="21"/>
                <w:szCs w:val="21"/>
              </w:rPr>
            </w:pPr>
            <w:r w:rsidRPr="00E84D59">
              <w:rPr>
                <w:b/>
                <w:sz w:val="21"/>
                <w:szCs w:val="21"/>
              </w:rPr>
              <w:t>.36</w:t>
            </w:r>
            <w:r>
              <w:rPr>
                <w:b/>
                <w:sz w:val="21"/>
                <w:szCs w:val="21"/>
              </w:rPr>
              <w:t xml:space="preserve"> </w:t>
            </w:r>
            <w:r>
              <w:rPr>
                <w:sz w:val="21"/>
                <w:szCs w:val="21"/>
              </w:rPr>
              <w:t>(.07)</w:t>
            </w:r>
          </w:p>
        </w:tc>
      </w:tr>
      <w:tr w:rsidR="003C6938" w:rsidRPr="00E84D59" w14:paraId="4F507794" w14:textId="77777777" w:rsidTr="003C6938">
        <w:trPr>
          <w:gridAfter w:val="1"/>
          <w:wAfter w:w="13" w:type="dxa"/>
          <w:trHeight w:val="308"/>
        </w:trPr>
        <w:tc>
          <w:tcPr>
            <w:tcW w:w="2819" w:type="dxa"/>
            <w:vAlign w:val="center"/>
          </w:tcPr>
          <w:p w14:paraId="202AFB48" w14:textId="77777777" w:rsidR="003C6938" w:rsidRPr="00E84D59" w:rsidRDefault="003C6938" w:rsidP="003C6938">
            <w:pPr>
              <w:rPr>
                <w:sz w:val="21"/>
                <w:szCs w:val="21"/>
              </w:rPr>
            </w:pPr>
            <w:r w:rsidRPr="00E84D59">
              <w:rPr>
                <w:sz w:val="21"/>
                <w:szCs w:val="21"/>
              </w:rPr>
              <w:t>TriPM Meanness</w:t>
            </w:r>
          </w:p>
        </w:tc>
        <w:tc>
          <w:tcPr>
            <w:tcW w:w="870" w:type="dxa"/>
            <w:vAlign w:val="center"/>
          </w:tcPr>
          <w:p w14:paraId="2BF6B806" w14:textId="77777777" w:rsidR="003C6938" w:rsidRPr="00E71B58" w:rsidRDefault="003C6938" w:rsidP="003C6938">
            <w:pPr>
              <w:jc w:val="center"/>
              <w:rPr>
                <w:sz w:val="21"/>
                <w:szCs w:val="21"/>
              </w:rPr>
            </w:pPr>
            <w:r>
              <w:rPr>
                <w:b/>
                <w:sz w:val="21"/>
                <w:szCs w:val="21"/>
              </w:rPr>
              <w:t xml:space="preserve">.70 </w:t>
            </w:r>
            <w:r>
              <w:rPr>
                <w:sz w:val="21"/>
                <w:szCs w:val="21"/>
              </w:rPr>
              <w:t>(.03)</w:t>
            </w:r>
          </w:p>
        </w:tc>
        <w:tc>
          <w:tcPr>
            <w:tcW w:w="872" w:type="dxa"/>
            <w:vAlign w:val="center"/>
          </w:tcPr>
          <w:p w14:paraId="32FE80DE" w14:textId="77777777" w:rsidR="003C6938" w:rsidRPr="005A5B5E" w:rsidRDefault="003C6938" w:rsidP="003C6938">
            <w:pPr>
              <w:jc w:val="center"/>
              <w:rPr>
                <w:sz w:val="21"/>
                <w:szCs w:val="21"/>
              </w:rPr>
            </w:pPr>
            <w:r>
              <w:rPr>
                <w:b/>
                <w:sz w:val="21"/>
                <w:szCs w:val="21"/>
              </w:rPr>
              <w:t xml:space="preserve">.35 </w:t>
            </w:r>
            <w:r>
              <w:rPr>
                <w:sz w:val="21"/>
                <w:szCs w:val="21"/>
              </w:rPr>
              <w:t>(.08)</w:t>
            </w:r>
          </w:p>
        </w:tc>
        <w:tc>
          <w:tcPr>
            <w:tcW w:w="891" w:type="dxa"/>
            <w:vAlign w:val="center"/>
          </w:tcPr>
          <w:p w14:paraId="68A29173" w14:textId="77777777" w:rsidR="003C6938" w:rsidRPr="00E71B58" w:rsidRDefault="003C6938" w:rsidP="003C6938">
            <w:pPr>
              <w:jc w:val="center"/>
              <w:rPr>
                <w:sz w:val="21"/>
                <w:szCs w:val="21"/>
              </w:rPr>
            </w:pPr>
            <w:r w:rsidRPr="00E84D59">
              <w:rPr>
                <w:b/>
                <w:sz w:val="21"/>
                <w:szCs w:val="21"/>
              </w:rPr>
              <w:t>.69</w:t>
            </w:r>
            <w:r>
              <w:rPr>
                <w:b/>
                <w:sz w:val="21"/>
                <w:szCs w:val="21"/>
              </w:rPr>
              <w:t xml:space="preserve"> </w:t>
            </w:r>
            <w:r>
              <w:rPr>
                <w:sz w:val="21"/>
                <w:szCs w:val="21"/>
              </w:rPr>
              <w:t>(.03)</w:t>
            </w:r>
          </w:p>
        </w:tc>
        <w:tc>
          <w:tcPr>
            <w:tcW w:w="854" w:type="dxa"/>
            <w:vAlign w:val="center"/>
          </w:tcPr>
          <w:p w14:paraId="3FB2C996" w14:textId="77777777" w:rsidR="003C6938" w:rsidRPr="00E71B58" w:rsidRDefault="003C6938" w:rsidP="003C6938">
            <w:pPr>
              <w:jc w:val="center"/>
              <w:rPr>
                <w:sz w:val="21"/>
                <w:szCs w:val="21"/>
              </w:rPr>
            </w:pPr>
            <w:r>
              <w:rPr>
                <w:b/>
                <w:sz w:val="21"/>
                <w:szCs w:val="21"/>
              </w:rPr>
              <w:t xml:space="preserve">.49 </w:t>
            </w:r>
            <w:r>
              <w:rPr>
                <w:sz w:val="21"/>
                <w:szCs w:val="21"/>
              </w:rPr>
              <w:t>(.06)</w:t>
            </w:r>
          </w:p>
        </w:tc>
        <w:tc>
          <w:tcPr>
            <w:tcW w:w="859" w:type="dxa"/>
            <w:vAlign w:val="center"/>
          </w:tcPr>
          <w:p w14:paraId="48EC4D0B" w14:textId="77777777" w:rsidR="003C6938" w:rsidRPr="00FD5154" w:rsidRDefault="003C6938" w:rsidP="003C6938">
            <w:pPr>
              <w:jc w:val="center"/>
              <w:rPr>
                <w:sz w:val="21"/>
                <w:szCs w:val="21"/>
              </w:rPr>
            </w:pPr>
            <w:r>
              <w:rPr>
                <w:b/>
                <w:sz w:val="21"/>
                <w:szCs w:val="21"/>
              </w:rPr>
              <w:t xml:space="preserve">.55 </w:t>
            </w:r>
            <w:r>
              <w:rPr>
                <w:sz w:val="21"/>
                <w:szCs w:val="21"/>
              </w:rPr>
              <w:t>(.04)</w:t>
            </w:r>
          </w:p>
        </w:tc>
        <w:tc>
          <w:tcPr>
            <w:tcW w:w="943" w:type="dxa"/>
            <w:vAlign w:val="center"/>
          </w:tcPr>
          <w:p w14:paraId="2C5478C3" w14:textId="77777777" w:rsidR="003C6938" w:rsidRPr="00E71B58" w:rsidRDefault="003C6938" w:rsidP="003C6938">
            <w:pPr>
              <w:jc w:val="center"/>
              <w:rPr>
                <w:sz w:val="21"/>
                <w:szCs w:val="21"/>
              </w:rPr>
            </w:pPr>
            <w:r w:rsidRPr="00693428">
              <w:rPr>
                <w:b/>
                <w:sz w:val="21"/>
                <w:szCs w:val="21"/>
              </w:rPr>
              <w:t>.41</w:t>
            </w:r>
            <w:r>
              <w:rPr>
                <w:b/>
                <w:sz w:val="21"/>
                <w:szCs w:val="21"/>
              </w:rPr>
              <w:t xml:space="preserve"> </w:t>
            </w:r>
            <w:r>
              <w:rPr>
                <w:sz w:val="21"/>
                <w:szCs w:val="21"/>
              </w:rPr>
              <w:t>(.07)</w:t>
            </w:r>
          </w:p>
        </w:tc>
        <w:tc>
          <w:tcPr>
            <w:tcW w:w="892" w:type="dxa"/>
            <w:vAlign w:val="center"/>
          </w:tcPr>
          <w:p w14:paraId="3FA99B8B" w14:textId="77777777" w:rsidR="003C6938" w:rsidRPr="00FD5154" w:rsidRDefault="003C6938" w:rsidP="003C6938">
            <w:pPr>
              <w:jc w:val="center"/>
              <w:rPr>
                <w:sz w:val="21"/>
                <w:szCs w:val="21"/>
              </w:rPr>
            </w:pPr>
            <w:r w:rsidRPr="00E84D59">
              <w:rPr>
                <w:b/>
                <w:sz w:val="21"/>
                <w:szCs w:val="21"/>
              </w:rPr>
              <w:t>.60</w:t>
            </w:r>
            <w:r>
              <w:rPr>
                <w:b/>
                <w:sz w:val="21"/>
                <w:szCs w:val="21"/>
              </w:rPr>
              <w:t xml:space="preserve"> </w:t>
            </w:r>
            <w:r>
              <w:rPr>
                <w:sz w:val="21"/>
                <w:szCs w:val="21"/>
              </w:rPr>
              <w:t>(.03)</w:t>
            </w:r>
          </w:p>
        </w:tc>
        <w:tc>
          <w:tcPr>
            <w:tcW w:w="923" w:type="dxa"/>
            <w:vAlign w:val="center"/>
          </w:tcPr>
          <w:p w14:paraId="68C10101" w14:textId="77777777" w:rsidR="003C6938" w:rsidRPr="00E71B58" w:rsidRDefault="003C6938" w:rsidP="003C6938">
            <w:pPr>
              <w:jc w:val="center"/>
              <w:rPr>
                <w:sz w:val="21"/>
                <w:szCs w:val="21"/>
              </w:rPr>
            </w:pPr>
            <w:r w:rsidRPr="00E84D59">
              <w:rPr>
                <w:b/>
                <w:sz w:val="21"/>
                <w:szCs w:val="21"/>
              </w:rPr>
              <w:t>.33</w:t>
            </w:r>
            <w:r>
              <w:rPr>
                <w:b/>
                <w:sz w:val="21"/>
                <w:szCs w:val="21"/>
              </w:rPr>
              <w:t xml:space="preserve"> </w:t>
            </w:r>
            <w:r>
              <w:rPr>
                <w:sz w:val="21"/>
                <w:szCs w:val="21"/>
              </w:rPr>
              <w:t>(.07)</w:t>
            </w:r>
          </w:p>
        </w:tc>
      </w:tr>
      <w:tr w:rsidR="003C6938" w:rsidRPr="00E84D59" w14:paraId="1F5AB838" w14:textId="77777777" w:rsidTr="003C6938">
        <w:trPr>
          <w:gridAfter w:val="1"/>
          <w:wAfter w:w="13" w:type="dxa"/>
          <w:trHeight w:val="557"/>
        </w:trPr>
        <w:tc>
          <w:tcPr>
            <w:tcW w:w="9923" w:type="dxa"/>
            <w:gridSpan w:val="9"/>
            <w:tcBorders>
              <w:top w:val="single" w:sz="4" w:space="0" w:color="auto"/>
            </w:tcBorders>
          </w:tcPr>
          <w:p w14:paraId="5D08380A" w14:textId="77777777" w:rsidR="003C6938" w:rsidRPr="00E84D59" w:rsidRDefault="003C6938" w:rsidP="003C6938">
            <w:r w:rsidRPr="00E84D59">
              <w:rPr>
                <w:i/>
                <w:sz w:val="20"/>
                <w:szCs w:val="16"/>
              </w:rPr>
              <w:t xml:space="preserve">Note. </w:t>
            </w:r>
            <w:r w:rsidRPr="00E84D59">
              <w:rPr>
                <w:sz w:val="20"/>
                <w:szCs w:val="16"/>
              </w:rPr>
              <w:t xml:space="preserve">Coefficients are bolded if </w:t>
            </w:r>
            <w:r w:rsidRPr="00E84D59">
              <w:rPr>
                <w:iCs/>
                <w:sz w:val="20"/>
                <w:szCs w:val="16"/>
              </w:rPr>
              <w:t xml:space="preserve">p </w:t>
            </w:r>
            <w:r w:rsidRPr="00E84D59">
              <w:rPr>
                <w:sz w:val="20"/>
                <w:szCs w:val="16"/>
              </w:rPr>
              <w:t xml:space="preserve">&lt; .001 and italicized if </w:t>
            </w:r>
            <w:r w:rsidRPr="00E84D59">
              <w:rPr>
                <w:iCs/>
                <w:sz w:val="20"/>
                <w:szCs w:val="16"/>
              </w:rPr>
              <w:t xml:space="preserve">p </w:t>
            </w:r>
            <w:r w:rsidRPr="00E84D59">
              <w:rPr>
                <w:sz w:val="20"/>
                <w:szCs w:val="16"/>
              </w:rPr>
              <w:t xml:space="preserve">&lt; .01. </w:t>
            </w:r>
            <w:r>
              <w:rPr>
                <w:sz w:val="20"/>
                <w:szCs w:val="16"/>
              </w:rPr>
              <w:t xml:space="preserve">Standard errors are denoted in parentheses. </w:t>
            </w:r>
            <w:r w:rsidRPr="00E84D59">
              <w:rPr>
                <w:sz w:val="20"/>
                <w:szCs w:val="16"/>
              </w:rPr>
              <w:t>PPI=Psychopathic Personality Inventory - Revised (in Study 1) and PPI-40 (in Study 2); TriPM=Triarchic Psychopathy Measure</w:t>
            </w:r>
            <w:r>
              <w:rPr>
                <w:sz w:val="20"/>
                <w:szCs w:val="16"/>
              </w:rPr>
              <w:t>.</w:t>
            </w:r>
            <w:r w:rsidRPr="00E84D59">
              <w:rPr>
                <w:sz w:val="20"/>
                <w:szCs w:val="16"/>
              </w:rPr>
              <w:t xml:space="preserve"> </w:t>
            </w:r>
          </w:p>
        </w:tc>
      </w:tr>
    </w:tbl>
    <w:p w14:paraId="3B5E19C6" w14:textId="579426E2" w:rsidR="003C6938" w:rsidRDefault="003C6938" w:rsidP="00895E39">
      <w:pPr>
        <w:rPr>
          <w:sz w:val="21"/>
        </w:rPr>
      </w:pPr>
    </w:p>
    <w:p w14:paraId="69A47FB8" w14:textId="14DAFAF0" w:rsidR="00A104CE" w:rsidRDefault="00A104CE" w:rsidP="00895E39">
      <w:pPr>
        <w:rPr>
          <w:sz w:val="21"/>
        </w:rPr>
      </w:pPr>
    </w:p>
    <w:p w14:paraId="2FD9783E" w14:textId="2458FEF6" w:rsidR="00A104CE" w:rsidRDefault="00A104CE" w:rsidP="00895E39">
      <w:pPr>
        <w:rPr>
          <w:sz w:val="21"/>
        </w:rPr>
      </w:pPr>
    </w:p>
    <w:p w14:paraId="0539D8B8" w14:textId="26A302E4" w:rsidR="00A104CE" w:rsidRDefault="00A104CE" w:rsidP="00895E39">
      <w:pPr>
        <w:rPr>
          <w:sz w:val="21"/>
        </w:rPr>
      </w:pPr>
    </w:p>
    <w:p w14:paraId="56B2A557" w14:textId="7CCFA867" w:rsidR="00A104CE" w:rsidRDefault="00A104CE" w:rsidP="00895E39">
      <w:pPr>
        <w:rPr>
          <w:sz w:val="21"/>
        </w:rPr>
      </w:pPr>
    </w:p>
    <w:p w14:paraId="457C6A95" w14:textId="2B84B051" w:rsidR="00A104CE" w:rsidRDefault="00A104CE" w:rsidP="00895E39">
      <w:pPr>
        <w:rPr>
          <w:sz w:val="21"/>
        </w:rPr>
      </w:pPr>
    </w:p>
    <w:p w14:paraId="1C6CDE82" w14:textId="32FD45FC" w:rsidR="00A104CE" w:rsidRDefault="00A104CE" w:rsidP="00895E39">
      <w:pPr>
        <w:rPr>
          <w:sz w:val="21"/>
        </w:rPr>
      </w:pPr>
    </w:p>
    <w:p w14:paraId="3972A386" w14:textId="0F078E23" w:rsidR="00A104CE" w:rsidRDefault="00A104CE" w:rsidP="00895E39">
      <w:pPr>
        <w:rPr>
          <w:sz w:val="21"/>
        </w:rPr>
      </w:pPr>
    </w:p>
    <w:p w14:paraId="2FE48605" w14:textId="5B136164" w:rsidR="00A104CE" w:rsidRDefault="00A104CE" w:rsidP="00895E39">
      <w:pPr>
        <w:rPr>
          <w:sz w:val="21"/>
        </w:rPr>
      </w:pPr>
    </w:p>
    <w:p w14:paraId="118C2A8C" w14:textId="7255F2B3" w:rsidR="00A104CE" w:rsidRDefault="00A104CE" w:rsidP="00895E39">
      <w:pPr>
        <w:rPr>
          <w:sz w:val="21"/>
        </w:rPr>
      </w:pPr>
    </w:p>
    <w:tbl>
      <w:tblPr>
        <w:tblpPr w:leftFromText="180" w:rightFromText="180" w:vertAnchor="page" w:horzAnchor="page" w:tblpX="970" w:tblpY="1265"/>
        <w:tblW w:w="9923" w:type="dxa"/>
        <w:tblLayout w:type="fixed"/>
        <w:tblCellMar>
          <w:left w:w="115" w:type="dxa"/>
          <w:right w:w="115" w:type="dxa"/>
        </w:tblCellMar>
        <w:tblLook w:val="04A0" w:firstRow="1" w:lastRow="0" w:firstColumn="1" w:lastColumn="0" w:noHBand="0" w:noVBand="1"/>
      </w:tblPr>
      <w:tblGrid>
        <w:gridCol w:w="2819"/>
        <w:gridCol w:w="1728"/>
        <w:gridCol w:w="1728"/>
        <w:gridCol w:w="1728"/>
        <w:gridCol w:w="1717"/>
        <w:gridCol w:w="11"/>
        <w:gridCol w:w="192"/>
      </w:tblGrid>
      <w:tr w:rsidR="00A104CE" w:rsidRPr="00E84D59" w14:paraId="6E497807" w14:textId="77777777" w:rsidTr="00B84237">
        <w:trPr>
          <w:gridAfter w:val="2"/>
          <w:wAfter w:w="203" w:type="dxa"/>
          <w:trHeight w:val="264"/>
        </w:trPr>
        <w:tc>
          <w:tcPr>
            <w:tcW w:w="9720" w:type="dxa"/>
            <w:gridSpan w:val="5"/>
          </w:tcPr>
          <w:p w14:paraId="57A84AC6" w14:textId="77777777" w:rsidR="00A104CE" w:rsidRPr="00E84D59" w:rsidRDefault="00A104CE" w:rsidP="00B84237">
            <w:pPr>
              <w:contextualSpacing/>
              <w:rPr>
                <w:i/>
                <w:sz w:val="21"/>
                <w:szCs w:val="21"/>
              </w:rPr>
            </w:pPr>
            <w:r>
              <w:lastRenderedPageBreak/>
              <w:t>Table 3</w:t>
            </w:r>
            <w:r w:rsidRPr="00E84D59">
              <w:t>.</w:t>
            </w:r>
            <w:r w:rsidRPr="00E84D59">
              <w:rPr>
                <w:b/>
              </w:rPr>
              <w:t xml:space="preserve"> </w:t>
            </w:r>
            <w:r>
              <w:rPr>
                <w:i/>
              </w:rPr>
              <w:t xml:space="preserve">Zero-order correlations between </w:t>
            </w:r>
            <w:r w:rsidRPr="00E84D59">
              <w:rPr>
                <w:i/>
              </w:rPr>
              <w:t>cr</w:t>
            </w:r>
            <w:r>
              <w:rPr>
                <w:i/>
              </w:rPr>
              <w:t>iterion variables and</w:t>
            </w:r>
            <w:r w:rsidRPr="00E84D59">
              <w:rPr>
                <w:i/>
              </w:rPr>
              <w:t xml:space="preserve"> the ISOS-PR</w:t>
            </w:r>
            <w:r w:rsidRPr="00E84D59">
              <w:rPr>
                <w:i/>
                <w:sz w:val="21"/>
                <w:szCs w:val="21"/>
              </w:rPr>
              <w:t xml:space="preserve">. </w:t>
            </w:r>
          </w:p>
        </w:tc>
      </w:tr>
      <w:tr w:rsidR="00A104CE" w:rsidRPr="00E84D59" w14:paraId="12BF427F" w14:textId="77777777" w:rsidTr="00B84237">
        <w:trPr>
          <w:gridAfter w:val="1"/>
          <w:wAfter w:w="192" w:type="dxa"/>
          <w:trHeight w:val="308"/>
        </w:trPr>
        <w:tc>
          <w:tcPr>
            <w:tcW w:w="2819" w:type="dxa"/>
            <w:tcBorders>
              <w:top w:val="single" w:sz="4" w:space="0" w:color="auto"/>
            </w:tcBorders>
          </w:tcPr>
          <w:p w14:paraId="138E862D" w14:textId="77777777" w:rsidR="00A104CE" w:rsidRPr="00E84D59" w:rsidRDefault="00A104CE" w:rsidP="00B84237">
            <w:pPr>
              <w:rPr>
                <w:sz w:val="21"/>
                <w:szCs w:val="21"/>
              </w:rPr>
            </w:pPr>
          </w:p>
        </w:tc>
        <w:tc>
          <w:tcPr>
            <w:tcW w:w="3456" w:type="dxa"/>
            <w:gridSpan w:val="2"/>
            <w:tcBorders>
              <w:top w:val="single" w:sz="4" w:space="0" w:color="auto"/>
              <w:bottom w:val="single" w:sz="4" w:space="0" w:color="auto"/>
            </w:tcBorders>
            <w:vAlign w:val="center"/>
          </w:tcPr>
          <w:p w14:paraId="5DBE39E6" w14:textId="77777777" w:rsidR="00A104CE" w:rsidRPr="00E84D59" w:rsidRDefault="00A104CE" w:rsidP="00B84237">
            <w:pPr>
              <w:contextualSpacing/>
              <w:jc w:val="center"/>
              <w:rPr>
                <w:sz w:val="21"/>
                <w:szCs w:val="21"/>
              </w:rPr>
            </w:pPr>
            <w:r w:rsidRPr="00E84D59">
              <w:rPr>
                <w:sz w:val="21"/>
                <w:szCs w:val="21"/>
              </w:rPr>
              <w:t>Study 1</w:t>
            </w:r>
          </w:p>
        </w:tc>
        <w:tc>
          <w:tcPr>
            <w:tcW w:w="3456" w:type="dxa"/>
            <w:gridSpan w:val="3"/>
            <w:tcBorders>
              <w:top w:val="single" w:sz="4" w:space="0" w:color="auto"/>
              <w:left w:val="nil"/>
            </w:tcBorders>
            <w:vAlign w:val="center"/>
          </w:tcPr>
          <w:p w14:paraId="65C00651" w14:textId="77777777" w:rsidR="00A104CE" w:rsidRPr="00E84D59" w:rsidRDefault="00A104CE" w:rsidP="00B84237">
            <w:pPr>
              <w:contextualSpacing/>
              <w:jc w:val="center"/>
              <w:rPr>
                <w:sz w:val="21"/>
                <w:szCs w:val="21"/>
              </w:rPr>
            </w:pPr>
            <w:r w:rsidRPr="00E84D59">
              <w:rPr>
                <w:sz w:val="21"/>
                <w:szCs w:val="21"/>
              </w:rPr>
              <w:t>Study 2</w:t>
            </w:r>
          </w:p>
        </w:tc>
      </w:tr>
      <w:tr w:rsidR="00A104CE" w:rsidRPr="00E84D59" w14:paraId="091A31C6" w14:textId="77777777" w:rsidTr="00B84237">
        <w:trPr>
          <w:gridAfter w:val="1"/>
          <w:wAfter w:w="192" w:type="dxa"/>
          <w:trHeight w:val="308"/>
        </w:trPr>
        <w:tc>
          <w:tcPr>
            <w:tcW w:w="2819" w:type="dxa"/>
          </w:tcPr>
          <w:p w14:paraId="4E66B949" w14:textId="77777777" w:rsidR="00A104CE" w:rsidRPr="00E84D59" w:rsidRDefault="00A104CE" w:rsidP="00B84237">
            <w:pPr>
              <w:rPr>
                <w:sz w:val="21"/>
                <w:szCs w:val="21"/>
              </w:rPr>
            </w:pPr>
          </w:p>
        </w:tc>
        <w:tc>
          <w:tcPr>
            <w:tcW w:w="1728" w:type="dxa"/>
            <w:tcBorders>
              <w:top w:val="single" w:sz="4" w:space="0" w:color="auto"/>
              <w:bottom w:val="single" w:sz="4" w:space="0" w:color="auto"/>
            </w:tcBorders>
            <w:vAlign w:val="center"/>
          </w:tcPr>
          <w:p w14:paraId="55DEF35E" w14:textId="77777777" w:rsidR="00A104CE" w:rsidRPr="00E84D59" w:rsidRDefault="00A104CE" w:rsidP="00B84237">
            <w:pPr>
              <w:contextualSpacing/>
              <w:jc w:val="center"/>
              <w:rPr>
                <w:b/>
                <w:sz w:val="21"/>
                <w:szCs w:val="21"/>
              </w:rPr>
            </w:pPr>
            <w:r w:rsidRPr="00E84D59">
              <w:rPr>
                <w:sz w:val="21"/>
                <w:szCs w:val="21"/>
              </w:rPr>
              <w:t xml:space="preserve"> Attitudes</w:t>
            </w:r>
          </w:p>
        </w:tc>
        <w:tc>
          <w:tcPr>
            <w:tcW w:w="1728" w:type="dxa"/>
            <w:tcBorders>
              <w:top w:val="single" w:sz="4" w:space="0" w:color="auto"/>
              <w:left w:val="nil"/>
              <w:bottom w:val="single" w:sz="4" w:space="0" w:color="auto"/>
            </w:tcBorders>
            <w:vAlign w:val="center"/>
          </w:tcPr>
          <w:p w14:paraId="652B52C9" w14:textId="77777777" w:rsidR="00A104CE" w:rsidRPr="00E84D59" w:rsidRDefault="00A104CE" w:rsidP="00B84237">
            <w:pPr>
              <w:contextualSpacing/>
              <w:jc w:val="center"/>
              <w:rPr>
                <w:sz w:val="21"/>
                <w:szCs w:val="21"/>
              </w:rPr>
            </w:pPr>
            <w:r w:rsidRPr="00E84D59">
              <w:rPr>
                <w:sz w:val="21"/>
                <w:szCs w:val="21"/>
              </w:rPr>
              <w:t>Behaviors</w:t>
            </w:r>
          </w:p>
        </w:tc>
        <w:tc>
          <w:tcPr>
            <w:tcW w:w="1728" w:type="dxa"/>
            <w:tcBorders>
              <w:top w:val="single" w:sz="4" w:space="0" w:color="auto"/>
              <w:left w:val="nil"/>
              <w:bottom w:val="single" w:sz="4" w:space="0" w:color="auto"/>
            </w:tcBorders>
            <w:vAlign w:val="center"/>
          </w:tcPr>
          <w:p w14:paraId="4A13C99A" w14:textId="77777777" w:rsidR="00A104CE" w:rsidRPr="00E84D59" w:rsidRDefault="00A104CE" w:rsidP="00B84237">
            <w:pPr>
              <w:contextualSpacing/>
              <w:jc w:val="center"/>
              <w:rPr>
                <w:sz w:val="21"/>
                <w:szCs w:val="21"/>
              </w:rPr>
            </w:pPr>
            <w:r w:rsidRPr="00E84D59">
              <w:rPr>
                <w:sz w:val="21"/>
                <w:szCs w:val="21"/>
              </w:rPr>
              <w:t>Attitudes</w:t>
            </w:r>
          </w:p>
        </w:tc>
        <w:tc>
          <w:tcPr>
            <w:tcW w:w="1728" w:type="dxa"/>
            <w:gridSpan w:val="2"/>
            <w:tcBorders>
              <w:top w:val="single" w:sz="4" w:space="0" w:color="auto"/>
              <w:left w:val="nil"/>
              <w:bottom w:val="single" w:sz="4" w:space="0" w:color="auto"/>
            </w:tcBorders>
            <w:vAlign w:val="center"/>
          </w:tcPr>
          <w:p w14:paraId="7429F7F4" w14:textId="77777777" w:rsidR="00A104CE" w:rsidRPr="00E84D59" w:rsidRDefault="00A104CE" w:rsidP="00B84237">
            <w:pPr>
              <w:contextualSpacing/>
              <w:jc w:val="center"/>
              <w:rPr>
                <w:sz w:val="21"/>
                <w:szCs w:val="21"/>
              </w:rPr>
            </w:pPr>
            <w:r w:rsidRPr="00E84D59">
              <w:rPr>
                <w:sz w:val="21"/>
                <w:szCs w:val="21"/>
              </w:rPr>
              <w:t>Behaviors</w:t>
            </w:r>
          </w:p>
        </w:tc>
      </w:tr>
      <w:tr w:rsidR="00A104CE" w:rsidRPr="00E84D59" w14:paraId="6C6CFD7E" w14:textId="77777777" w:rsidTr="00B84237">
        <w:trPr>
          <w:gridAfter w:val="1"/>
          <w:wAfter w:w="192" w:type="dxa"/>
          <w:trHeight w:val="308"/>
        </w:trPr>
        <w:tc>
          <w:tcPr>
            <w:tcW w:w="2819" w:type="dxa"/>
            <w:vAlign w:val="center"/>
          </w:tcPr>
          <w:p w14:paraId="4CF41C38" w14:textId="77777777" w:rsidR="00A104CE" w:rsidRPr="00E84D59" w:rsidRDefault="00A104CE" w:rsidP="00B84237">
            <w:pPr>
              <w:jc w:val="center"/>
              <w:rPr>
                <w:b/>
                <w:sz w:val="21"/>
                <w:szCs w:val="21"/>
                <w:u w:val="single"/>
              </w:rPr>
            </w:pPr>
            <w:r w:rsidRPr="00E84D59">
              <w:rPr>
                <w:b/>
                <w:sz w:val="21"/>
                <w:szCs w:val="21"/>
                <w:u w:val="single"/>
              </w:rPr>
              <w:t>Study 1</w:t>
            </w:r>
          </w:p>
        </w:tc>
        <w:tc>
          <w:tcPr>
            <w:tcW w:w="1728" w:type="dxa"/>
          </w:tcPr>
          <w:p w14:paraId="4BEB7F63" w14:textId="77777777" w:rsidR="00A104CE" w:rsidRPr="00E84D59" w:rsidRDefault="00A104CE" w:rsidP="00B84237">
            <w:pPr>
              <w:jc w:val="center"/>
              <w:rPr>
                <w:sz w:val="21"/>
                <w:szCs w:val="21"/>
              </w:rPr>
            </w:pPr>
          </w:p>
        </w:tc>
        <w:tc>
          <w:tcPr>
            <w:tcW w:w="1728" w:type="dxa"/>
            <w:tcBorders>
              <w:top w:val="single" w:sz="4" w:space="0" w:color="auto"/>
            </w:tcBorders>
          </w:tcPr>
          <w:p w14:paraId="2482DA26" w14:textId="77777777" w:rsidR="00A104CE" w:rsidRPr="00E84D59" w:rsidRDefault="00A104CE" w:rsidP="00B84237">
            <w:pPr>
              <w:jc w:val="center"/>
              <w:rPr>
                <w:i/>
                <w:sz w:val="21"/>
                <w:szCs w:val="21"/>
              </w:rPr>
            </w:pPr>
          </w:p>
        </w:tc>
        <w:tc>
          <w:tcPr>
            <w:tcW w:w="1728" w:type="dxa"/>
            <w:tcBorders>
              <w:top w:val="single" w:sz="4" w:space="0" w:color="auto"/>
            </w:tcBorders>
          </w:tcPr>
          <w:p w14:paraId="4AF7ADD5" w14:textId="77777777" w:rsidR="00A104CE" w:rsidRPr="00E84D59" w:rsidRDefault="00A104CE" w:rsidP="00B84237">
            <w:pPr>
              <w:jc w:val="center"/>
              <w:rPr>
                <w:i/>
                <w:sz w:val="21"/>
                <w:szCs w:val="21"/>
              </w:rPr>
            </w:pPr>
          </w:p>
        </w:tc>
        <w:tc>
          <w:tcPr>
            <w:tcW w:w="1728" w:type="dxa"/>
            <w:gridSpan w:val="2"/>
            <w:tcBorders>
              <w:top w:val="single" w:sz="4" w:space="0" w:color="auto"/>
            </w:tcBorders>
          </w:tcPr>
          <w:p w14:paraId="1AD4AFE7" w14:textId="77777777" w:rsidR="00A104CE" w:rsidRPr="00E84D59" w:rsidRDefault="00A104CE" w:rsidP="00B84237">
            <w:pPr>
              <w:jc w:val="center"/>
              <w:rPr>
                <w:i/>
                <w:sz w:val="21"/>
                <w:szCs w:val="21"/>
              </w:rPr>
            </w:pPr>
          </w:p>
        </w:tc>
      </w:tr>
      <w:tr w:rsidR="00A104CE" w:rsidRPr="00E84D59" w14:paraId="7748B138" w14:textId="77777777" w:rsidTr="00B84237">
        <w:trPr>
          <w:gridAfter w:val="1"/>
          <w:wAfter w:w="192" w:type="dxa"/>
          <w:trHeight w:val="308"/>
        </w:trPr>
        <w:tc>
          <w:tcPr>
            <w:tcW w:w="2819" w:type="dxa"/>
            <w:vAlign w:val="center"/>
          </w:tcPr>
          <w:p w14:paraId="2C45BD0A" w14:textId="77777777" w:rsidR="00A104CE" w:rsidRPr="00E84D59" w:rsidRDefault="00A104CE" w:rsidP="00B84237">
            <w:pPr>
              <w:rPr>
                <w:b/>
                <w:i/>
                <w:sz w:val="21"/>
                <w:szCs w:val="21"/>
              </w:rPr>
            </w:pPr>
            <w:r w:rsidRPr="00E84D59">
              <w:rPr>
                <w:sz w:val="21"/>
                <w:szCs w:val="21"/>
              </w:rPr>
              <w:t>UPPS-P (Low) Perseverance</w:t>
            </w:r>
          </w:p>
        </w:tc>
        <w:tc>
          <w:tcPr>
            <w:tcW w:w="1728" w:type="dxa"/>
            <w:vAlign w:val="center"/>
          </w:tcPr>
          <w:p w14:paraId="0A7202A0" w14:textId="77777777" w:rsidR="00A104CE" w:rsidRPr="00FD5154" w:rsidRDefault="00A104CE" w:rsidP="00B84237">
            <w:pPr>
              <w:jc w:val="center"/>
              <w:rPr>
                <w:sz w:val="21"/>
                <w:szCs w:val="21"/>
              </w:rPr>
            </w:pPr>
            <w:r>
              <w:rPr>
                <w:b/>
                <w:sz w:val="21"/>
                <w:szCs w:val="21"/>
              </w:rPr>
              <w:t xml:space="preserve">.23 </w:t>
            </w:r>
            <w:r>
              <w:rPr>
                <w:sz w:val="21"/>
                <w:szCs w:val="21"/>
              </w:rPr>
              <w:t>(.05)</w:t>
            </w:r>
          </w:p>
        </w:tc>
        <w:tc>
          <w:tcPr>
            <w:tcW w:w="1728" w:type="dxa"/>
            <w:vAlign w:val="center"/>
          </w:tcPr>
          <w:p w14:paraId="52DB6D5F" w14:textId="77777777" w:rsidR="00A104CE" w:rsidRPr="00FD5154" w:rsidRDefault="00A104CE" w:rsidP="00B84237">
            <w:pPr>
              <w:jc w:val="center"/>
              <w:rPr>
                <w:sz w:val="21"/>
                <w:szCs w:val="21"/>
              </w:rPr>
            </w:pPr>
            <w:r w:rsidRPr="003E7673">
              <w:rPr>
                <w:b/>
                <w:sz w:val="21"/>
                <w:szCs w:val="21"/>
              </w:rPr>
              <w:t>.24</w:t>
            </w:r>
            <w:r>
              <w:rPr>
                <w:b/>
                <w:sz w:val="21"/>
                <w:szCs w:val="21"/>
              </w:rPr>
              <w:t xml:space="preserve"> </w:t>
            </w:r>
            <w:r>
              <w:rPr>
                <w:sz w:val="21"/>
                <w:szCs w:val="21"/>
              </w:rPr>
              <w:t>(.05)</w:t>
            </w:r>
          </w:p>
        </w:tc>
        <w:tc>
          <w:tcPr>
            <w:tcW w:w="1728" w:type="dxa"/>
            <w:vAlign w:val="center"/>
          </w:tcPr>
          <w:p w14:paraId="46FFA6A9" w14:textId="77777777" w:rsidR="00A104CE" w:rsidRPr="00E84D59" w:rsidRDefault="00A104CE" w:rsidP="00B84237">
            <w:pPr>
              <w:jc w:val="center"/>
              <w:rPr>
                <w:i/>
                <w:sz w:val="21"/>
                <w:szCs w:val="21"/>
              </w:rPr>
            </w:pPr>
            <w:r w:rsidRPr="00E84D59">
              <w:rPr>
                <w:sz w:val="21"/>
                <w:szCs w:val="21"/>
              </w:rPr>
              <w:t>-</w:t>
            </w:r>
          </w:p>
        </w:tc>
        <w:tc>
          <w:tcPr>
            <w:tcW w:w="1728" w:type="dxa"/>
            <w:gridSpan w:val="2"/>
            <w:vAlign w:val="center"/>
          </w:tcPr>
          <w:p w14:paraId="58A9705E" w14:textId="77777777" w:rsidR="00A104CE" w:rsidRPr="00E84D59" w:rsidRDefault="00A104CE" w:rsidP="00B84237">
            <w:pPr>
              <w:jc w:val="center"/>
              <w:rPr>
                <w:i/>
                <w:sz w:val="21"/>
                <w:szCs w:val="21"/>
              </w:rPr>
            </w:pPr>
            <w:r w:rsidRPr="00E84D59">
              <w:rPr>
                <w:sz w:val="21"/>
                <w:szCs w:val="21"/>
              </w:rPr>
              <w:t>-</w:t>
            </w:r>
          </w:p>
        </w:tc>
      </w:tr>
      <w:tr w:rsidR="00A104CE" w:rsidRPr="00E84D59" w14:paraId="7F8AAF41" w14:textId="77777777" w:rsidTr="00B84237">
        <w:trPr>
          <w:gridAfter w:val="1"/>
          <w:wAfter w:w="192" w:type="dxa"/>
          <w:trHeight w:val="308"/>
        </w:trPr>
        <w:tc>
          <w:tcPr>
            <w:tcW w:w="2819" w:type="dxa"/>
            <w:vAlign w:val="center"/>
          </w:tcPr>
          <w:p w14:paraId="3AC3A0D6" w14:textId="77777777" w:rsidR="00A104CE" w:rsidRPr="00E84D59" w:rsidRDefault="00A104CE" w:rsidP="00B84237">
            <w:pPr>
              <w:rPr>
                <w:b/>
                <w:i/>
                <w:sz w:val="21"/>
                <w:szCs w:val="21"/>
              </w:rPr>
            </w:pPr>
            <w:r w:rsidRPr="00E84D59">
              <w:rPr>
                <w:sz w:val="21"/>
                <w:szCs w:val="21"/>
              </w:rPr>
              <w:t>UPPS-P Premeditation</w:t>
            </w:r>
          </w:p>
        </w:tc>
        <w:tc>
          <w:tcPr>
            <w:tcW w:w="1728" w:type="dxa"/>
            <w:vAlign w:val="center"/>
          </w:tcPr>
          <w:p w14:paraId="7DFE165E" w14:textId="77777777" w:rsidR="00A104CE" w:rsidRPr="00FD5154" w:rsidRDefault="00A104CE" w:rsidP="00B84237">
            <w:pPr>
              <w:jc w:val="center"/>
              <w:rPr>
                <w:sz w:val="21"/>
                <w:szCs w:val="21"/>
              </w:rPr>
            </w:pPr>
            <w:r w:rsidRPr="003E7673">
              <w:rPr>
                <w:b/>
                <w:sz w:val="21"/>
                <w:szCs w:val="21"/>
              </w:rPr>
              <w:t>.30</w:t>
            </w:r>
            <w:r>
              <w:rPr>
                <w:b/>
                <w:sz w:val="21"/>
                <w:szCs w:val="21"/>
              </w:rPr>
              <w:t xml:space="preserve"> </w:t>
            </w:r>
            <w:r>
              <w:rPr>
                <w:sz w:val="21"/>
                <w:szCs w:val="21"/>
              </w:rPr>
              <w:t>(.04)</w:t>
            </w:r>
          </w:p>
        </w:tc>
        <w:tc>
          <w:tcPr>
            <w:tcW w:w="1728" w:type="dxa"/>
            <w:vAlign w:val="center"/>
          </w:tcPr>
          <w:p w14:paraId="17AD122E" w14:textId="77777777" w:rsidR="00A104CE" w:rsidRPr="00FD5154" w:rsidRDefault="00A104CE" w:rsidP="00B84237">
            <w:pPr>
              <w:jc w:val="center"/>
              <w:rPr>
                <w:i/>
                <w:sz w:val="21"/>
                <w:szCs w:val="21"/>
              </w:rPr>
            </w:pPr>
            <w:r>
              <w:rPr>
                <w:b/>
                <w:sz w:val="21"/>
                <w:szCs w:val="21"/>
              </w:rPr>
              <w:t xml:space="preserve">.21 </w:t>
            </w:r>
            <w:r>
              <w:rPr>
                <w:sz w:val="21"/>
                <w:szCs w:val="21"/>
              </w:rPr>
              <w:t>(.04)</w:t>
            </w:r>
          </w:p>
        </w:tc>
        <w:tc>
          <w:tcPr>
            <w:tcW w:w="1728" w:type="dxa"/>
            <w:vAlign w:val="center"/>
          </w:tcPr>
          <w:p w14:paraId="659F3644" w14:textId="77777777" w:rsidR="00A104CE" w:rsidRPr="00E84D59" w:rsidRDefault="00A104CE" w:rsidP="00B84237">
            <w:pPr>
              <w:jc w:val="center"/>
              <w:rPr>
                <w:i/>
                <w:sz w:val="21"/>
                <w:szCs w:val="21"/>
              </w:rPr>
            </w:pPr>
            <w:r w:rsidRPr="00E84D59">
              <w:rPr>
                <w:sz w:val="21"/>
                <w:szCs w:val="21"/>
              </w:rPr>
              <w:t>-</w:t>
            </w:r>
          </w:p>
        </w:tc>
        <w:tc>
          <w:tcPr>
            <w:tcW w:w="1728" w:type="dxa"/>
            <w:gridSpan w:val="2"/>
            <w:vAlign w:val="center"/>
          </w:tcPr>
          <w:p w14:paraId="27F1BA74" w14:textId="77777777" w:rsidR="00A104CE" w:rsidRPr="00E84D59" w:rsidRDefault="00A104CE" w:rsidP="00B84237">
            <w:pPr>
              <w:jc w:val="center"/>
              <w:rPr>
                <w:i/>
                <w:sz w:val="21"/>
                <w:szCs w:val="21"/>
              </w:rPr>
            </w:pPr>
            <w:r w:rsidRPr="00E84D59">
              <w:rPr>
                <w:sz w:val="21"/>
                <w:szCs w:val="21"/>
              </w:rPr>
              <w:t>-</w:t>
            </w:r>
          </w:p>
        </w:tc>
      </w:tr>
      <w:tr w:rsidR="00A104CE" w:rsidRPr="00E84D59" w14:paraId="2C752A36" w14:textId="77777777" w:rsidTr="00B84237">
        <w:trPr>
          <w:gridAfter w:val="1"/>
          <w:wAfter w:w="192" w:type="dxa"/>
          <w:trHeight w:val="308"/>
        </w:trPr>
        <w:tc>
          <w:tcPr>
            <w:tcW w:w="2819" w:type="dxa"/>
            <w:vAlign w:val="center"/>
          </w:tcPr>
          <w:p w14:paraId="06725CE2" w14:textId="77777777" w:rsidR="00A104CE" w:rsidRPr="00E84D59" w:rsidRDefault="00A104CE" w:rsidP="00B84237">
            <w:pPr>
              <w:rPr>
                <w:b/>
                <w:i/>
                <w:sz w:val="21"/>
                <w:szCs w:val="21"/>
              </w:rPr>
            </w:pPr>
            <w:r w:rsidRPr="00E84D59">
              <w:rPr>
                <w:sz w:val="21"/>
                <w:szCs w:val="21"/>
              </w:rPr>
              <w:t>UPPS-P Negative Urgency</w:t>
            </w:r>
          </w:p>
        </w:tc>
        <w:tc>
          <w:tcPr>
            <w:tcW w:w="1728" w:type="dxa"/>
            <w:vAlign w:val="center"/>
          </w:tcPr>
          <w:p w14:paraId="6C61FEC6" w14:textId="77777777" w:rsidR="00A104CE" w:rsidRPr="00FD5154" w:rsidRDefault="00A104CE" w:rsidP="00B84237">
            <w:pPr>
              <w:jc w:val="center"/>
              <w:rPr>
                <w:sz w:val="21"/>
                <w:szCs w:val="21"/>
              </w:rPr>
            </w:pPr>
            <w:r w:rsidRPr="003E7673">
              <w:rPr>
                <w:b/>
                <w:sz w:val="21"/>
                <w:szCs w:val="21"/>
              </w:rPr>
              <w:t>.57</w:t>
            </w:r>
            <w:r>
              <w:rPr>
                <w:b/>
                <w:sz w:val="21"/>
                <w:szCs w:val="21"/>
              </w:rPr>
              <w:t xml:space="preserve"> </w:t>
            </w:r>
            <w:r>
              <w:rPr>
                <w:sz w:val="21"/>
                <w:szCs w:val="21"/>
              </w:rPr>
              <w:t>(.04)</w:t>
            </w:r>
          </w:p>
        </w:tc>
        <w:tc>
          <w:tcPr>
            <w:tcW w:w="1728" w:type="dxa"/>
            <w:vAlign w:val="center"/>
          </w:tcPr>
          <w:p w14:paraId="0677E65F" w14:textId="77777777" w:rsidR="00A104CE" w:rsidRPr="00FD5154" w:rsidRDefault="00A104CE" w:rsidP="00B84237">
            <w:pPr>
              <w:jc w:val="center"/>
              <w:rPr>
                <w:i/>
                <w:sz w:val="21"/>
                <w:szCs w:val="21"/>
              </w:rPr>
            </w:pPr>
            <w:r>
              <w:rPr>
                <w:b/>
                <w:sz w:val="21"/>
                <w:szCs w:val="21"/>
              </w:rPr>
              <w:t xml:space="preserve">.63 </w:t>
            </w:r>
            <w:r>
              <w:rPr>
                <w:sz w:val="21"/>
                <w:szCs w:val="21"/>
              </w:rPr>
              <w:t>(.03)</w:t>
            </w:r>
          </w:p>
        </w:tc>
        <w:tc>
          <w:tcPr>
            <w:tcW w:w="1728" w:type="dxa"/>
            <w:vAlign w:val="center"/>
          </w:tcPr>
          <w:p w14:paraId="40CD887A" w14:textId="77777777" w:rsidR="00A104CE" w:rsidRPr="00E84D59" w:rsidRDefault="00A104CE" w:rsidP="00B84237">
            <w:pPr>
              <w:jc w:val="center"/>
              <w:rPr>
                <w:i/>
                <w:sz w:val="21"/>
                <w:szCs w:val="21"/>
              </w:rPr>
            </w:pPr>
            <w:r w:rsidRPr="00E84D59">
              <w:rPr>
                <w:sz w:val="21"/>
                <w:szCs w:val="21"/>
              </w:rPr>
              <w:t>-</w:t>
            </w:r>
          </w:p>
        </w:tc>
        <w:tc>
          <w:tcPr>
            <w:tcW w:w="1728" w:type="dxa"/>
            <w:gridSpan w:val="2"/>
            <w:vAlign w:val="center"/>
          </w:tcPr>
          <w:p w14:paraId="27F9927A" w14:textId="77777777" w:rsidR="00A104CE" w:rsidRPr="00E84D59" w:rsidRDefault="00A104CE" w:rsidP="00B84237">
            <w:pPr>
              <w:jc w:val="center"/>
              <w:rPr>
                <w:i/>
                <w:sz w:val="21"/>
                <w:szCs w:val="21"/>
              </w:rPr>
            </w:pPr>
            <w:r w:rsidRPr="00E84D59">
              <w:rPr>
                <w:sz w:val="21"/>
                <w:szCs w:val="21"/>
              </w:rPr>
              <w:t>-</w:t>
            </w:r>
          </w:p>
        </w:tc>
      </w:tr>
      <w:tr w:rsidR="00A104CE" w:rsidRPr="00E84D59" w14:paraId="5457243C" w14:textId="77777777" w:rsidTr="00B84237">
        <w:trPr>
          <w:gridAfter w:val="1"/>
          <w:wAfter w:w="192" w:type="dxa"/>
          <w:trHeight w:val="308"/>
        </w:trPr>
        <w:tc>
          <w:tcPr>
            <w:tcW w:w="2819" w:type="dxa"/>
            <w:vAlign w:val="center"/>
          </w:tcPr>
          <w:p w14:paraId="25E135EE" w14:textId="77777777" w:rsidR="00A104CE" w:rsidRPr="00E84D59" w:rsidRDefault="00A104CE" w:rsidP="00B84237">
            <w:pPr>
              <w:rPr>
                <w:b/>
                <w:i/>
                <w:sz w:val="21"/>
                <w:szCs w:val="21"/>
              </w:rPr>
            </w:pPr>
            <w:r w:rsidRPr="00E84D59">
              <w:rPr>
                <w:sz w:val="21"/>
                <w:szCs w:val="21"/>
              </w:rPr>
              <w:t>UPPS-P Sensation Seeking</w:t>
            </w:r>
          </w:p>
        </w:tc>
        <w:tc>
          <w:tcPr>
            <w:tcW w:w="1728" w:type="dxa"/>
            <w:vAlign w:val="center"/>
          </w:tcPr>
          <w:p w14:paraId="4BDEBCE8" w14:textId="77777777" w:rsidR="00A104CE" w:rsidRPr="00FD5154" w:rsidRDefault="00A104CE" w:rsidP="00B84237">
            <w:pPr>
              <w:jc w:val="center"/>
              <w:rPr>
                <w:sz w:val="21"/>
                <w:szCs w:val="21"/>
              </w:rPr>
            </w:pPr>
            <w:r w:rsidRPr="003E7673">
              <w:rPr>
                <w:b/>
                <w:sz w:val="21"/>
                <w:szCs w:val="21"/>
              </w:rPr>
              <w:t>.48</w:t>
            </w:r>
            <w:r>
              <w:rPr>
                <w:b/>
                <w:sz w:val="21"/>
                <w:szCs w:val="21"/>
              </w:rPr>
              <w:t xml:space="preserve"> </w:t>
            </w:r>
            <w:r>
              <w:rPr>
                <w:sz w:val="21"/>
                <w:szCs w:val="21"/>
              </w:rPr>
              <w:t>(.04)</w:t>
            </w:r>
          </w:p>
        </w:tc>
        <w:tc>
          <w:tcPr>
            <w:tcW w:w="1728" w:type="dxa"/>
            <w:vAlign w:val="center"/>
          </w:tcPr>
          <w:p w14:paraId="3B01FB21" w14:textId="77777777" w:rsidR="00A104CE" w:rsidRPr="00FD5154" w:rsidRDefault="00A104CE" w:rsidP="00B84237">
            <w:pPr>
              <w:jc w:val="center"/>
              <w:rPr>
                <w:i/>
                <w:sz w:val="21"/>
                <w:szCs w:val="21"/>
              </w:rPr>
            </w:pPr>
            <w:r>
              <w:rPr>
                <w:b/>
                <w:sz w:val="21"/>
                <w:szCs w:val="21"/>
              </w:rPr>
              <w:t xml:space="preserve">.55 </w:t>
            </w:r>
            <w:r>
              <w:rPr>
                <w:sz w:val="21"/>
                <w:szCs w:val="21"/>
              </w:rPr>
              <w:t>(.04)</w:t>
            </w:r>
          </w:p>
        </w:tc>
        <w:tc>
          <w:tcPr>
            <w:tcW w:w="1728" w:type="dxa"/>
            <w:vAlign w:val="center"/>
          </w:tcPr>
          <w:p w14:paraId="560BFB93" w14:textId="77777777" w:rsidR="00A104CE" w:rsidRPr="00E84D59" w:rsidRDefault="00A104CE" w:rsidP="00B84237">
            <w:pPr>
              <w:jc w:val="center"/>
              <w:rPr>
                <w:i/>
                <w:sz w:val="21"/>
                <w:szCs w:val="21"/>
              </w:rPr>
            </w:pPr>
            <w:r w:rsidRPr="00E84D59">
              <w:rPr>
                <w:sz w:val="21"/>
                <w:szCs w:val="21"/>
              </w:rPr>
              <w:t>-</w:t>
            </w:r>
          </w:p>
        </w:tc>
        <w:tc>
          <w:tcPr>
            <w:tcW w:w="1728" w:type="dxa"/>
            <w:gridSpan w:val="2"/>
            <w:vAlign w:val="center"/>
          </w:tcPr>
          <w:p w14:paraId="24BF2765" w14:textId="77777777" w:rsidR="00A104CE" w:rsidRPr="00E84D59" w:rsidRDefault="00A104CE" w:rsidP="00B84237">
            <w:pPr>
              <w:jc w:val="center"/>
              <w:rPr>
                <w:i/>
                <w:sz w:val="21"/>
                <w:szCs w:val="21"/>
              </w:rPr>
            </w:pPr>
            <w:r w:rsidRPr="00E84D59">
              <w:rPr>
                <w:sz w:val="21"/>
                <w:szCs w:val="21"/>
              </w:rPr>
              <w:t>-</w:t>
            </w:r>
          </w:p>
        </w:tc>
      </w:tr>
      <w:tr w:rsidR="00A104CE" w:rsidRPr="00E84D59" w14:paraId="7A8E3D99" w14:textId="77777777" w:rsidTr="00B84237">
        <w:trPr>
          <w:gridAfter w:val="1"/>
          <w:wAfter w:w="192" w:type="dxa"/>
          <w:trHeight w:val="308"/>
        </w:trPr>
        <w:tc>
          <w:tcPr>
            <w:tcW w:w="2819" w:type="dxa"/>
            <w:vAlign w:val="center"/>
          </w:tcPr>
          <w:p w14:paraId="2E15E3C5" w14:textId="77777777" w:rsidR="00A104CE" w:rsidRPr="00E84D59" w:rsidRDefault="00A104CE" w:rsidP="00B84237">
            <w:pPr>
              <w:rPr>
                <w:b/>
                <w:i/>
                <w:sz w:val="21"/>
                <w:szCs w:val="21"/>
              </w:rPr>
            </w:pPr>
            <w:r w:rsidRPr="00E84D59">
              <w:rPr>
                <w:sz w:val="21"/>
                <w:szCs w:val="21"/>
              </w:rPr>
              <w:t>UPSS Positive Urgency</w:t>
            </w:r>
          </w:p>
        </w:tc>
        <w:tc>
          <w:tcPr>
            <w:tcW w:w="1728" w:type="dxa"/>
            <w:vAlign w:val="center"/>
          </w:tcPr>
          <w:p w14:paraId="18CFCB78" w14:textId="77777777" w:rsidR="00A104CE" w:rsidRPr="00FD5154" w:rsidRDefault="00A104CE" w:rsidP="00B84237">
            <w:pPr>
              <w:jc w:val="center"/>
              <w:rPr>
                <w:sz w:val="21"/>
                <w:szCs w:val="21"/>
              </w:rPr>
            </w:pPr>
            <w:r w:rsidRPr="00F6726E">
              <w:rPr>
                <w:b/>
                <w:sz w:val="21"/>
                <w:szCs w:val="21"/>
              </w:rPr>
              <w:t>.61</w:t>
            </w:r>
            <w:r>
              <w:rPr>
                <w:b/>
                <w:sz w:val="21"/>
                <w:szCs w:val="21"/>
              </w:rPr>
              <w:t xml:space="preserve"> </w:t>
            </w:r>
            <w:r>
              <w:rPr>
                <w:sz w:val="21"/>
                <w:szCs w:val="21"/>
              </w:rPr>
              <w:t>(.04)</w:t>
            </w:r>
          </w:p>
        </w:tc>
        <w:tc>
          <w:tcPr>
            <w:tcW w:w="1728" w:type="dxa"/>
            <w:vAlign w:val="center"/>
          </w:tcPr>
          <w:p w14:paraId="76BD7855" w14:textId="77777777" w:rsidR="00A104CE" w:rsidRPr="00FD5154" w:rsidRDefault="00A104CE" w:rsidP="00B84237">
            <w:pPr>
              <w:jc w:val="center"/>
              <w:rPr>
                <w:i/>
                <w:sz w:val="21"/>
                <w:szCs w:val="21"/>
              </w:rPr>
            </w:pPr>
            <w:r>
              <w:rPr>
                <w:b/>
                <w:sz w:val="21"/>
                <w:szCs w:val="21"/>
              </w:rPr>
              <w:t xml:space="preserve">.66 </w:t>
            </w:r>
            <w:r>
              <w:rPr>
                <w:sz w:val="21"/>
                <w:szCs w:val="21"/>
              </w:rPr>
              <w:t>(.03)</w:t>
            </w:r>
          </w:p>
        </w:tc>
        <w:tc>
          <w:tcPr>
            <w:tcW w:w="1728" w:type="dxa"/>
            <w:vAlign w:val="center"/>
          </w:tcPr>
          <w:p w14:paraId="5DBE487E" w14:textId="77777777" w:rsidR="00A104CE" w:rsidRPr="00E84D59" w:rsidRDefault="00A104CE" w:rsidP="00B84237">
            <w:pPr>
              <w:jc w:val="center"/>
              <w:rPr>
                <w:i/>
                <w:sz w:val="21"/>
                <w:szCs w:val="21"/>
              </w:rPr>
            </w:pPr>
            <w:r w:rsidRPr="00E84D59">
              <w:rPr>
                <w:sz w:val="21"/>
                <w:szCs w:val="21"/>
              </w:rPr>
              <w:t>-</w:t>
            </w:r>
          </w:p>
        </w:tc>
        <w:tc>
          <w:tcPr>
            <w:tcW w:w="1728" w:type="dxa"/>
            <w:gridSpan w:val="2"/>
            <w:vAlign w:val="center"/>
          </w:tcPr>
          <w:p w14:paraId="67EFEE1A" w14:textId="77777777" w:rsidR="00A104CE" w:rsidRPr="00E84D59" w:rsidRDefault="00A104CE" w:rsidP="00B84237">
            <w:pPr>
              <w:jc w:val="center"/>
              <w:rPr>
                <w:i/>
                <w:sz w:val="21"/>
                <w:szCs w:val="21"/>
              </w:rPr>
            </w:pPr>
            <w:r w:rsidRPr="00E84D59">
              <w:rPr>
                <w:sz w:val="21"/>
                <w:szCs w:val="21"/>
              </w:rPr>
              <w:t>-</w:t>
            </w:r>
          </w:p>
        </w:tc>
      </w:tr>
      <w:tr w:rsidR="00A104CE" w:rsidRPr="00E84D59" w14:paraId="6E8EB4E3" w14:textId="77777777" w:rsidTr="00B84237">
        <w:trPr>
          <w:gridAfter w:val="1"/>
          <w:wAfter w:w="192" w:type="dxa"/>
          <w:trHeight w:val="308"/>
        </w:trPr>
        <w:tc>
          <w:tcPr>
            <w:tcW w:w="2819" w:type="dxa"/>
            <w:vAlign w:val="center"/>
          </w:tcPr>
          <w:p w14:paraId="3DDE14D6" w14:textId="77777777" w:rsidR="00A104CE" w:rsidRPr="00E84D59" w:rsidRDefault="00A104CE" w:rsidP="00B84237">
            <w:pPr>
              <w:rPr>
                <w:b/>
                <w:i/>
                <w:sz w:val="21"/>
                <w:szCs w:val="21"/>
              </w:rPr>
            </w:pPr>
            <w:r w:rsidRPr="00E84D59">
              <w:rPr>
                <w:sz w:val="21"/>
                <w:szCs w:val="21"/>
              </w:rPr>
              <w:t>VAST Direct</w:t>
            </w:r>
          </w:p>
        </w:tc>
        <w:tc>
          <w:tcPr>
            <w:tcW w:w="1728" w:type="dxa"/>
            <w:vAlign w:val="center"/>
          </w:tcPr>
          <w:p w14:paraId="0BD23222" w14:textId="77777777" w:rsidR="00A104CE" w:rsidRPr="003A4D6C" w:rsidRDefault="00A104CE" w:rsidP="00B84237">
            <w:pPr>
              <w:jc w:val="center"/>
              <w:rPr>
                <w:sz w:val="21"/>
                <w:szCs w:val="21"/>
              </w:rPr>
            </w:pPr>
            <w:r w:rsidRPr="00F6726E">
              <w:rPr>
                <w:b/>
                <w:sz w:val="21"/>
                <w:szCs w:val="21"/>
              </w:rPr>
              <w:t>.58</w:t>
            </w:r>
            <w:r>
              <w:rPr>
                <w:b/>
                <w:sz w:val="21"/>
                <w:szCs w:val="21"/>
              </w:rPr>
              <w:t xml:space="preserve"> </w:t>
            </w:r>
            <w:r>
              <w:rPr>
                <w:sz w:val="21"/>
                <w:szCs w:val="21"/>
              </w:rPr>
              <w:t>(.03)</w:t>
            </w:r>
          </w:p>
        </w:tc>
        <w:tc>
          <w:tcPr>
            <w:tcW w:w="1728" w:type="dxa"/>
            <w:vAlign w:val="center"/>
          </w:tcPr>
          <w:p w14:paraId="19D9F468" w14:textId="77777777" w:rsidR="00A104CE" w:rsidRPr="003A4D6C" w:rsidRDefault="00A104CE" w:rsidP="00B84237">
            <w:pPr>
              <w:jc w:val="center"/>
              <w:rPr>
                <w:i/>
                <w:sz w:val="21"/>
                <w:szCs w:val="21"/>
              </w:rPr>
            </w:pPr>
            <w:r>
              <w:rPr>
                <w:b/>
                <w:sz w:val="21"/>
                <w:szCs w:val="21"/>
              </w:rPr>
              <w:t xml:space="preserve">.65 </w:t>
            </w:r>
            <w:r>
              <w:rPr>
                <w:sz w:val="21"/>
                <w:szCs w:val="21"/>
              </w:rPr>
              <w:t>(.03)</w:t>
            </w:r>
          </w:p>
        </w:tc>
        <w:tc>
          <w:tcPr>
            <w:tcW w:w="1728" w:type="dxa"/>
            <w:vAlign w:val="center"/>
          </w:tcPr>
          <w:p w14:paraId="5981FA25" w14:textId="77777777" w:rsidR="00A104CE" w:rsidRPr="00E84D59" w:rsidRDefault="00A104CE" w:rsidP="00B84237">
            <w:pPr>
              <w:jc w:val="center"/>
              <w:rPr>
                <w:i/>
                <w:sz w:val="21"/>
                <w:szCs w:val="21"/>
              </w:rPr>
            </w:pPr>
            <w:r w:rsidRPr="00E84D59">
              <w:rPr>
                <w:sz w:val="21"/>
                <w:szCs w:val="21"/>
              </w:rPr>
              <w:t>-</w:t>
            </w:r>
          </w:p>
        </w:tc>
        <w:tc>
          <w:tcPr>
            <w:tcW w:w="1728" w:type="dxa"/>
            <w:gridSpan w:val="2"/>
            <w:vAlign w:val="center"/>
          </w:tcPr>
          <w:p w14:paraId="6A663867" w14:textId="77777777" w:rsidR="00A104CE" w:rsidRPr="00E84D59" w:rsidRDefault="00A104CE" w:rsidP="00B84237">
            <w:pPr>
              <w:jc w:val="center"/>
              <w:rPr>
                <w:i/>
                <w:sz w:val="21"/>
                <w:szCs w:val="21"/>
              </w:rPr>
            </w:pPr>
            <w:r w:rsidRPr="00E84D59">
              <w:rPr>
                <w:sz w:val="21"/>
                <w:szCs w:val="21"/>
              </w:rPr>
              <w:t>-</w:t>
            </w:r>
          </w:p>
        </w:tc>
      </w:tr>
      <w:tr w:rsidR="00A104CE" w:rsidRPr="00E84D59" w14:paraId="3499605D" w14:textId="77777777" w:rsidTr="00B84237">
        <w:trPr>
          <w:gridAfter w:val="1"/>
          <w:wAfter w:w="192" w:type="dxa"/>
          <w:trHeight w:val="308"/>
        </w:trPr>
        <w:tc>
          <w:tcPr>
            <w:tcW w:w="2819" w:type="dxa"/>
            <w:vAlign w:val="center"/>
          </w:tcPr>
          <w:p w14:paraId="73BE50C3" w14:textId="77777777" w:rsidR="00A104CE" w:rsidRPr="00E84D59" w:rsidRDefault="00A104CE" w:rsidP="00B84237">
            <w:pPr>
              <w:rPr>
                <w:b/>
                <w:i/>
                <w:sz w:val="21"/>
                <w:szCs w:val="21"/>
              </w:rPr>
            </w:pPr>
            <w:r w:rsidRPr="00E84D59">
              <w:rPr>
                <w:sz w:val="21"/>
                <w:szCs w:val="21"/>
              </w:rPr>
              <w:t>VAST Vicarious</w:t>
            </w:r>
          </w:p>
        </w:tc>
        <w:tc>
          <w:tcPr>
            <w:tcW w:w="1728" w:type="dxa"/>
            <w:vAlign w:val="center"/>
          </w:tcPr>
          <w:p w14:paraId="672D430C" w14:textId="77777777" w:rsidR="00A104CE" w:rsidRPr="003A4D6C" w:rsidRDefault="00A104CE" w:rsidP="00B84237">
            <w:pPr>
              <w:jc w:val="center"/>
              <w:rPr>
                <w:sz w:val="21"/>
                <w:szCs w:val="21"/>
              </w:rPr>
            </w:pPr>
            <w:r w:rsidRPr="00F6726E">
              <w:rPr>
                <w:b/>
                <w:sz w:val="21"/>
                <w:szCs w:val="21"/>
              </w:rPr>
              <w:t>-.21</w:t>
            </w:r>
            <w:r>
              <w:rPr>
                <w:b/>
                <w:sz w:val="21"/>
                <w:szCs w:val="21"/>
              </w:rPr>
              <w:t xml:space="preserve"> </w:t>
            </w:r>
            <w:r>
              <w:rPr>
                <w:sz w:val="21"/>
                <w:szCs w:val="21"/>
              </w:rPr>
              <w:t>(.04)</w:t>
            </w:r>
          </w:p>
        </w:tc>
        <w:tc>
          <w:tcPr>
            <w:tcW w:w="1728" w:type="dxa"/>
            <w:vAlign w:val="center"/>
          </w:tcPr>
          <w:p w14:paraId="4E720717" w14:textId="77777777" w:rsidR="00A104CE" w:rsidRPr="00E84D59" w:rsidRDefault="00A104CE" w:rsidP="00B84237">
            <w:pPr>
              <w:jc w:val="center"/>
              <w:rPr>
                <w:i/>
                <w:sz w:val="21"/>
                <w:szCs w:val="21"/>
              </w:rPr>
            </w:pPr>
            <w:r w:rsidRPr="00E84D59">
              <w:rPr>
                <w:sz w:val="21"/>
                <w:szCs w:val="21"/>
              </w:rPr>
              <w:t>-.10</w:t>
            </w:r>
            <w:r>
              <w:rPr>
                <w:sz w:val="21"/>
                <w:szCs w:val="21"/>
              </w:rPr>
              <w:t xml:space="preserve"> (.05)</w:t>
            </w:r>
          </w:p>
        </w:tc>
        <w:tc>
          <w:tcPr>
            <w:tcW w:w="1728" w:type="dxa"/>
            <w:vAlign w:val="center"/>
          </w:tcPr>
          <w:p w14:paraId="0786CE22" w14:textId="77777777" w:rsidR="00A104CE" w:rsidRPr="00E84D59" w:rsidRDefault="00A104CE" w:rsidP="00B84237">
            <w:pPr>
              <w:jc w:val="center"/>
              <w:rPr>
                <w:i/>
                <w:sz w:val="21"/>
                <w:szCs w:val="21"/>
              </w:rPr>
            </w:pPr>
            <w:r w:rsidRPr="00E84D59">
              <w:rPr>
                <w:sz w:val="21"/>
                <w:szCs w:val="21"/>
              </w:rPr>
              <w:t>-</w:t>
            </w:r>
          </w:p>
        </w:tc>
        <w:tc>
          <w:tcPr>
            <w:tcW w:w="1728" w:type="dxa"/>
            <w:gridSpan w:val="2"/>
            <w:vAlign w:val="center"/>
          </w:tcPr>
          <w:p w14:paraId="599E9A7C" w14:textId="77777777" w:rsidR="00A104CE" w:rsidRPr="00E84D59" w:rsidRDefault="00A104CE" w:rsidP="00B84237">
            <w:pPr>
              <w:jc w:val="center"/>
              <w:rPr>
                <w:i/>
                <w:sz w:val="21"/>
                <w:szCs w:val="21"/>
              </w:rPr>
            </w:pPr>
            <w:r w:rsidRPr="00E84D59">
              <w:rPr>
                <w:sz w:val="21"/>
                <w:szCs w:val="21"/>
              </w:rPr>
              <w:t>-</w:t>
            </w:r>
          </w:p>
        </w:tc>
      </w:tr>
      <w:tr w:rsidR="00A104CE" w:rsidRPr="00E84D59" w14:paraId="507C4DD0" w14:textId="77777777" w:rsidTr="00B84237">
        <w:trPr>
          <w:gridAfter w:val="1"/>
          <w:wAfter w:w="192" w:type="dxa"/>
          <w:trHeight w:val="308"/>
        </w:trPr>
        <w:tc>
          <w:tcPr>
            <w:tcW w:w="2819" w:type="dxa"/>
            <w:vAlign w:val="center"/>
          </w:tcPr>
          <w:p w14:paraId="7B12970A" w14:textId="77777777" w:rsidR="00A104CE" w:rsidRPr="00E84D59" w:rsidRDefault="00A104CE" w:rsidP="00B84237">
            <w:pPr>
              <w:jc w:val="center"/>
              <w:rPr>
                <w:b/>
                <w:sz w:val="21"/>
                <w:szCs w:val="21"/>
                <w:u w:val="single"/>
              </w:rPr>
            </w:pPr>
            <w:r w:rsidRPr="00E84D59">
              <w:rPr>
                <w:b/>
                <w:sz w:val="21"/>
                <w:szCs w:val="21"/>
                <w:u w:val="single"/>
              </w:rPr>
              <w:t>Study 2</w:t>
            </w:r>
          </w:p>
        </w:tc>
        <w:tc>
          <w:tcPr>
            <w:tcW w:w="1728" w:type="dxa"/>
            <w:vAlign w:val="center"/>
          </w:tcPr>
          <w:p w14:paraId="133950DF" w14:textId="77777777" w:rsidR="00A104CE" w:rsidRPr="00E84D59" w:rsidRDefault="00A104CE" w:rsidP="00B84237">
            <w:pPr>
              <w:jc w:val="center"/>
              <w:rPr>
                <w:sz w:val="21"/>
                <w:szCs w:val="21"/>
              </w:rPr>
            </w:pPr>
          </w:p>
        </w:tc>
        <w:tc>
          <w:tcPr>
            <w:tcW w:w="1728" w:type="dxa"/>
            <w:vAlign w:val="center"/>
          </w:tcPr>
          <w:p w14:paraId="18E046C4" w14:textId="77777777" w:rsidR="00A104CE" w:rsidRPr="00E84D59" w:rsidRDefault="00A104CE" w:rsidP="00B84237">
            <w:pPr>
              <w:jc w:val="center"/>
              <w:rPr>
                <w:i/>
                <w:sz w:val="21"/>
                <w:szCs w:val="21"/>
              </w:rPr>
            </w:pPr>
          </w:p>
        </w:tc>
        <w:tc>
          <w:tcPr>
            <w:tcW w:w="1728" w:type="dxa"/>
            <w:vAlign w:val="center"/>
          </w:tcPr>
          <w:p w14:paraId="6F07992E" w14:textId="77777777" w:rsidR="00A104CE" w:rsidRPr="00E84D59" w:rsidRDefault="00A104CE" w:rsidP="00B84237">
            <w:pPr>
              <w:jc w:val="center"/>
              <w:rPr>
                <w:i/>
                <w:sz w:val="21"/>
                <w:szCs w:val="21"/>
              </w:rPr>
            </w:pPr>
          </w:p>
        </w:tc>
        <w:tc>
          <w:tcPr>
            <w:tcW w:w="1728" w:type="dxa"/>
            <w:gridSpan w:val="2"/>
            <w:vAlign w:val="center"/>
          </w:tcPr>
          <w:p w14:paraId="118C5A99" w14:textId="77777777" w:rsidR="00A104CE" w:rsidRPr="00E84D59" w:rsidRDefault="00A104CE" w:rsidP="00B84237">
            <w:pPr>
              <w:jc w:val="center"/>
              <w:rPr>
                <w:i/>
                <w:sz w:val="21"/>
                <w:szCs w:val="21"/>
              </w:rPr>
            </w:pPr>
          </w:p>
        </w:tc>
      </w:tr>
      <w:tr w:rsidR="00A104CE" w:rsidRPr="00E84D59" w14:paraId="5B1E9DAE" w14:textId="77777777" w:rsidTr="00B84237">
        <w:trPr>
          <w:gridAfter w:val="1"/>
          <w:wAfter w:w="192" w:type="dxa"/>
          <w:trHeight w:val="308"/>
        </w:trPr>
        <w:tc>
          <w:tcPr>
            <w:tcW w:w="2819" w:type="dxa"/>
            <w:vAlign w:val="center"/>
          </w:tcPr>
          <w:p w14:paraId="4BC2012C" w14:textId="77777777" w:rsidR="00A104CE" w:rsidRPr="00E84D59" w:rsidRDefault="00A104CE" w:rsidP="00B84237">
            <w:pPr>
              <w:rPr>
                <w:b/>
                <w:sz w:val="21"/>
                <w:szCs w:val="21"/>
                <w:u w:val="single"/>
              </w:rPr>
            </w:pPr>
            <w:r w:rsidRPr="00E84D59">
              <w:rPr>
                <w:sz w:val="21"/>
                <w:szCs w:val="21"/>
              </w:rPr>
              <w:t>HSNS Hypersensitive Narc.</w:t>
            </w:r>
          </w:p>
        </w:tc>
        <w:tc>
          <w:tcPr>
            <w:tcW w:w="1728" w:type="dxa"/>
            <w:vAlign w:val="center"/>
          </w:tcPr>
          <w:p w14:paraId="6CB3E24D" w14:textId="77777777" w:rsidR="00A104CE" w:rsidRPr="00E84D59" w:rsidRDefault="00A104CE" w:rsidP="00B84237">
            <w:pPr>
              <w:jc w:val="center"/>
              <w:rPr>
                <w:sz w:val="21"/>
                <w:szCs w:val="21"/>
              </w:rPr>
            </w:pPr>
            <w:r w:rsidRPr="00E84D59">
              <w:rPr>
                <w:sz w:val="21"/>
                <w:szCs w:val="21"/>
              </w:rPr>
              <w:t>-</w:t>
            </w:r>
          </w:p>
        </w:tc>
        <w:tc>
          <w:tcPr>
            <w:tcW w:w="1728" w:type="dxa"/>
            <w:vAlign w:val="center"/>
          </w:tcPr>
          <w:p w14:paraId="4BFDA4B3" w14:textId="77777777" w:rsidR="00A104CE" w:rsidRPr="00E84D59" w:rsidRDefault="00A104CE" w:rsidP="00B84237">
            <w:pPr>
              <w:jc w:val="center"/>
              <w:rPr>
                <w:i/>
                <w:sz w:val="21"/>
                <w:szCs w:val="21"/>
              </w:rPr>
            </w:pPr>
            <w:r w:rsidRPr="00E84D59">
              <w:rPr>
                <w:sz w:val="21"/>
                <w:szCs w:val="21"/>
              </w:rPr>
              <w:t>-</w:t>
            </w:r>
          </w:p>
        </w:tc>
        <w:tc>
          <w:tcPr>
            <w:tcW w:w="1728" w:type="dxa"/>
            <w:vAlign w:val="center"/>
          </w:tcPr>
          <w:p w14:paraId="5CA44343" w14:textId="77777777" w:rsidR="00A104CE" w:rsidRPr="00942005" w:rsidRDefault="00A104CE" w:rsidP="00B84237">
            <w:pPr>
              <w:jc w:val="center"/>
              <w:rPr>
                <w:sz w:val="21"/>
                <w:szCs w:val="21"/>
              </w:rPr>
            </w:pPr>
            <w:r>
              <w:rPr>
                <w:b/>
                <w:sz w:val="21"/>
                <w:szCs w:val="21"/>
              </w:rPr>
              <w:t xml:space="preserve">.33 </w:t>
            </w:r>
            <w:r>
              <w:rPr>
                <w:sz w:val="21"/>
                <w:szCs w:val="21"/>
              </w:rPr>
              <w:t>(.05)</w:t>
            </w:r>
          </w:p>
        </w:tc>
        <w:tc>
          <w:tcPr>
            <w:tcW w:w="1728" w:type="dxa"/>
            <w:gridSpan w:val="2"/>
            <w:vAlign w:val="center"/>
          </w:tcPr>
          <w:p w14:paraId="24B5522F" w14:textId="77777777" w:rsidR="00A104CE" w:rsidRPr="00942005" w:rsidRDefault="00A104CE" w:rsidP="00B84237">
            <w:pPr>
              <w:jc w:val="center"/>
              <w:rPr>
                <w:i/>
                <w:sz w:val="21"/>
                <w:szCs w:val="21"/>
              </w:rPr>
            </w:pPr>
            <w:r>
              <w:rPr>
                <w:b/>
                <w:sz w:val="21"/>
                <w:szCs w:val="21"/>
              </w:rPr>
              <w:t xml:space="preserve">.35 </w:t>
            </w:r>
            <w:r>
              <w:rPr>
                <w:sz w:val="21"/>
                <w:szCs w:val="21"/>
              </w:rPr>
              <w:t>(.05)</w:t>
            </w:r>
          </w:p>
        </w:tc>
      </w:tr>
      <w:tr w:rsidR="00A104CE" w:rsidRPr="00E84D59" w14:paraId="42DD9992" w14:textId="77777777" w:rsidTr="00B84237">
        <w:trPr>
          <w:gridAfter w:val="1"/>
          <w:wAfter w:w="192" w:type="dxa"/>
          <w:trHeight w:val="308"/>
        </w:trPr>
        <w:tc>
          <w:tcPr>
            <w:tcW w:w="2819" w:type="dxa"/>
            <w:vAlign w:val="center"/>
          </w:tcPr>
          <w:p w14:paraId="4093F66D" w14:textId="77777777" w:rsidR="00A104CE" w:rsidRPr="00E84D59" w:rsidRDefault="00A104CE" w:rsidP="00B84237">
            <w:pPr>
              <w:jc w:val="center"/>
              <w:rPr>
                <w:b/>
                <w:sz w:val="21"/>
                <w:szCs w:val="21"/>
                <w:u w:val="single"/>
              </w:rPr>
            </w:pPr>
            <w:r w:rsidRPr="00E84D59">
              <w:rPr>
                <w:b/>
                <w:sz w:val="21"/>
                <w:szCs w:val="21"/>
                <w:u w:val="single"/>
              </w:rPr>
              <w:t>Studies 1 &amp; 2</w:t>
            </w:r>
          </w:p>
        </w:tc>
        <w:tc>
          <w:tcPr>
            <w:tcW w:w="1728" w:type="dxa"/>
            <w:vAlign w:val="center"/>
          </w:tcPr>
          <w:p w14:paraId="076181C0" w14:textId="77777777" w:rsidR="00A104CE" w:rsidRPr="00E84D59" w:rsidRDefault="00A104CE" w:rsidP="00B84237">
            <w:pPr>
              <w:jc w:val="center"/>
              <w:rPr>
                <w:sz w:val="21"/>
                <w:szCs w:val="21"/>
              </w:rPr>
            </w:pPr>
          </w:p>
        </w:tc>
        <w:tc>
          <w:tcPr>
            <w:tcW w:w="1728" w:type="dxa"/>
            <w:vAlign w:val="center"/>
          </w:tcPr>
          <w:p w14:paraId="42BB6789" w14:textId="77777777" w:rsidR="00A104CE" w:rsidRPr="00E84D59" w:rsidRDefault="00A104CE" w:rsidP="00B84237">
            <w:pPr>
              <w:jc w:val="center"/>
              <w:rPr>
                <w:i/>
                <w:sz w:val="21"/>
                <w:szCs w:val="21"/>
              </w:rPr>
            </w:pPr>
          </w:p>
        </w:tc>
        <w:tc>
          <w:tcPr>
            <w:tcW w:w="1728" w:type="dxa"/>
            <w:vAlign w:val="center"/>
          </w:tcPr>
          <w:p w14:paraId="2A7FC2DF" w14:textId="77777777" w:rsidR="00A104CE" w:rsidRPr="00E84D59" w:rsidRDefault="00A104CE" w:rsidP="00B84237">
            <w:pPr>
              <w:jc w:val="center"/>
              <w:rPr>
                <w:i/>
                <w:sz w:val="21"/>
                <w:szCs w:val="21"/>
              </w:rPr>
            </w:pPr>
          </w:p>
        </w:tc>
        <w:tc>
          <w:tcPr>
            <w:tcW w:w="1728" w:type="dxa"/>
            <w:gridSpan w:val="2"/>
            <w:vAlign w:val="center"/>
          </w:tcPr>
          <w:p w14:paraId="02639F29" w14:textId="77777777" w:rsidR="00A104CE" w:rsidRPr="00E84D59" w:rsidRDefault="00A104CE" w:rsidP="00B84237">
            <w:pPr>
              <w:jc w:val="center"/>
              <w:rPr>
                <w:i/>
                <w:sz w:val="21"/>
                <w:szCs w:val="21"/>
              </w:rPr>
            </w:pPr>
          </w:p>
        </w:tc>
      </w:tr>
      <w:tr w:rsidR="00A104CE" w:rsidRPr="00E84D59" w14:paraId="170566D7" w14:textId="77777777" w:rsidTr="00B84237">
        <w:trPr>
          <w:gridAfter w:val="1"/>
          <w:wAfter w:w="192" w:type="dxa"/>
          <w:trHeight w:val="308"/>
        </w:trPr>
        <w:tc>
          <w:tcPr>
            <w:tcW w:w="2819" w:type="dxa"/>
            <w:vAlign w:val="center"/>
          </w:tcPr>
          <w:p w14:paraId="4A59604A" w14:textId="77777777" w:rsidR="00A104CE" w:rsidRPr="00E84D59" w:rsidRDefault="00A104CE" w:rsidP="00B84237">
            <w:pPr>
              <w:rPr>
                <w:b/>
                <w:i/>
                <w:sz w:val="21"/>
                <w:szCs w:val="21"/>
              </w:rPr>
            </w:pPr>
            <w:r w:rsidRPr="00E84D59">
              <w:rPr>
                <w:sz w:val="21"/>
                <w:szCs w:val="21"/>
              </w:rPr>
              <w:t>ACME Affective Resonance</w:t>
            </w:r>
          </w:p>
        </w:tc>
        <w:tc>
          <w:tcPr>
            <w:tcW w:w="1728" w:type="dxa"/>
            <w:vAlign w:val="center"/>
          </w:tcPr>
          <w:p w14:paraId="61CFD717" w14:textId="77777777" w:rsidR="00A104CE" w:rsidRPr="008C60D2" w:rsidRDefault="00A104CE" w:rsidP="00B84237">
            <w:pPr>
              <w:jc w:val="center"/>
              <w:rPr>
                <w:sz w:val="21"/>
                <w:szCs w:val="21"/>
              </w:rPr>
            </w:pPr>
            <w:r w:rsidRPr="007A157D">
              <w:rPr>
                <w:b/>
                <w:sz w:val="21"/>
                <w:szCs w:val="21"/>
              </w:rPr>
              <w:t>-.59</w:t>
            </w:r>
            <w:r>
              <w:rPr>
                <w:b/>
                <w:sz w:val="21"/>
                <w:szCs w:val="21"/>
              </w:rPr>
              <w:t xml:space="preserve"> </w:t>
            </w:r>
            <w:r>
              <w:rPr>
                <w:sz w:val="21"/>
                <w:szCs w:val="21"/>
              </w:rPr>
              <w:t>(.03)</w:t>
            </w:r>
          </w:p>
        </w:tc>
        <w:tc>
          <w:tcPr>
            <w:tcW w:w="1728" w:type="dxa"/>
            <w:vAlign w:val="center"/>
          </w:tcPr>
          <w:p w14:paraId="7D7B6FE2" w14:textId="77777777" w:rsidR="00A104CE" w:rsidRPr="008C60D2" w:rsidRDefault="00A104CE" w:rsidP="00B84237">
            <w:pPr>
              <w:jc w:val="center"/>
              <w:rPr>
                <w:i/>
                <w:sz w:val="21"/>
                <w:szCs w:val="21"/>
              </w:rPr>
            </w:pPr>
            <w:r>
              <w:rPr>
                <w:b/>
                <w:sz w:val="21"/>
                <w:szCs w:val="21"/>
              </w:rPr>
              <w:t xml:space="preserve">-.54 </w:t>
            </w:r>
            <w:r>
              <w:rPr>
                <w:sz w:val="21"/>
                <w:szCs w:val="21"/>
              </w:rPr>
              <w:t>(.03)</w:t>
            </w:r>
          </w:p>
        </w:tc>
        <w:tc>
          <w:tcPr>
            <w:tcW w:w="1728" w:type="dxa"/>
            <w:vAlign w:val="center"/>
          </w:tcPr>
          <w:p w14:paraId="03802BD7" w14:textId="77777777" w:rsidR="00A104CE" w:rsidRPr="00942005" w:rsidRDefault="00A104CE" w:rsidP="00B84237">
            <w:pPr>
              <w:jc w:val="center"/>
              <w:rPr>
                <w:sz w:val="21"/>
                <w:szCs w:val="21"/>
              </w:rPr>
            </w:pPr>
            <w:r>
              <w:rPr>
                <w:b/>
                <w:sz w:val="21"/>
                <w:szCs w:val="21"/>
              </w:rPr>
              <w:t xml:space="preserve">-.53 </w:t>
            </w:r>
            <w:r>
              <w:rPr>
                <w:sz w:val="21"/>
                <w:szCs w:val="21"/>
              </w:rPr>
              <w:t>(.03)</w:t>
            </w:r>
          </w:p>
        </w:tc>
        <w:tc>
          <w:tcPr>
            <w:tcW w:w="1728" w:type="dxa"/>
            <w:gridSpan w:val="2"/>
            <w:vAlign w:val="center"/>
          </w:tcPr>
          <w:p w14:paraId="671E7899" w14:textId="77777777" w:rsidR="00A104CE" w:rsidRPr="00942005" w:rsidRDefault="00A104CE" w:rsidP="00B84237">
            <w:pPr>
              <w:jc w:val="center"/>
              <w:rPr>
                <w:i/>
                <w:sz w:val="21"/>
                <w:szCs w:val="21"/>
              </w:rPr>
            </w:pPr>
            <w:r>
              <w:rPr>
                <w:b/>
                <w:sz w:val="21"/>
                <w:szCs w:val="21"/>
              </w:rPr>
              <w:t xml:space="preserve">-.46 </w:t>
            </w:r>
            <w:r>
              <w:rPr>
                <w:sz w:val="21"/>
                <w:szCs w:val="21"/>
              </w:rPr>
              <w:t>(.04)</w:t>
            </w:r>
          </w:p>
        </w:tc>
      </w:tr>
      <w:tr w:rsidR="00A104CE" w:rsidRPr="00E84D59" w14:paraId="050928D4" w14:textId="77777777" w:rsidTr="00B84237">
        <w:trPr>
          <w:gridAfter w:val="1"/>
          <w:wAfter w:w="192" w:type="dxa"/>
          <w:trHeight w:val="308"/>
        </w:trPr>
        <w:tc>
          <w:tcPr>
            <w:tcW w:w="2819" w:type="dxa"/>
            <w:vAlign w:val="center"/>
          </w:tcPr>
          <w:p w14:paraId="4547171A" w14:textId="77777777" w:rsidR="00A104CE" w:rsidRPr="00E84D59" w:rsidRDefault="00A104CE" w:rsidP="00B84237">
            <w:pPr>
              <w:rPr>
                <w:b/>
                <w:i/>
                <w:sz w:val="21"/>
                <w:szCs w:val="21"/>
              </w:rPr>
            </w:pPr>
            <w:r w:rsidRPr="00E84D59">
              <w:rPr>
                <w:sz w:val="21"/>
                <w:szCs w:val="21"/>
              </w:rPr>
              <w:t>ACME Affective Dissonance</w:t>
            </w:r>
          </w:p>
        </w:tc>
        <w:tc>
          <w:tcPr>
            <w:tcW w:w="1728" w:type="dxa"/>
            <w:vAlign w:val="center"/>
          </w:tcPr>
          <w:p w14:paraId="534E27D8" w14:textId="77777777" w:rsidR="00A104CE" w:rsidRPr="008C60D2" w:rsidRDefault="00A104CE" w:rsidP="00B84237">
            <w:pPr>
              <w:jc w:val="center"/>
              <w:rPr>
                <w:sz w:val="21"/>
                <w:szCs w:val="21"/>
              </w:rPr>
            </w:pPr>
            <w:r w:rsidRPr="007A157D">
              <w:rPr>
                <w:b/>
                <w:sz w:val="21"/>
                <w:szCs w:val="21"/>
              </w:rPr>
              <w:t>.70</w:t>
            </w:r>
            <w:r>
              <w:rPr>
                <w:b/>
                <w:sz w:val="21"/>
                <w:szCs w:val="21"/>
              </w:rPr>
              <w:t xml:space="preserve"> </w:t>
            </w:r>
            <w:r>
              <w:rPr>
                <w:sz w:val="21"/>
                <w:szCs w:val="21"/>
              </w:rPr>
              <w:t>(.03)</w:t>
            </w:r>
          </w:p>
        </w:tc>
        <w:tc>
          <w:tcPr>
            <w:tcW w:w="1728" w:type="dxa"/>
            <w:vAlign w:val="center"/>
          </w:tcPr>
          <w:p w14:paraId="785B7CC8" w14:textId="77777777" w:rsidR="00A104CE" w:rsidRPr="008C60D2" w:rsidRDefault="00A104CE" w:rsidP="00B84237">
            <w:pPr>
              <w:jc w:val="center"/>
              <w:rPr>
                <w:i/>
                <w:sz w:val="21"/>
                <w:szCs w:val="21"/>
              </w:rPr>
            </w:pPr>
            <w:r>
              <w:rPr>
                <w:b/>
                <w:sz w:val="21"/>
                <w:szCs w:val="21"/>
              </w:rPr>
              <w:t xml:space="preserve">.66 </w:t>
            </w:r>
            <w:r>
              <w:rPr>
                <w:sz w:val="21"/>
                <w:szCs w:val="21"/>
              </w:rPr>
              <w:t>(.03)</w:t>
            </w:r>
          </w:p>
        </w:tc>
        <w:tc>
          <w:tcPr>
            <w:tcW w:w="1728" w:type="dxa"/>
            <w:vAlign w:val="center"/>
          </w:tcPr>
          <w:p w14:paraId="68CEF366" w14:textId="77777777" w:rsidR="00A104CE" w:rsidRPr="00942005" w:rsidRDefault="00A104CE" w:rsidP="00B84237">
            <w:pPr>
              <w:jc w:val="center"/>
              <w:rPr>
                <w:sz w:val="21"/>
                <w:szCs w:val="21"/>
              </w:rPr>
            </w:pPr>
            <w:r w:rsidRPr="009040F7">
              <w:rPr>
                <w:b/>
                <w:sz w:val="21"/>
                <w:szCs w:val="21"/>
              </w:rPr>
              <w:t>.57</w:t>
            </w:r>
            <w:r>
              <w:rPr>
                <w:b/>
                <w:sz w:val="21"/>
                <w:szCs w:val="21"/>
              </w:rPr>
              <w:t xml:space="preserve"> </w:t>
            </w:r>
            <w:r>
              <w:rPr>
                <w:sz w:val="21"/>
                <w:szCs w:val="21"/>
              </w:rPr>
              <w:t>(.04)</w:t>
            </w:r>
          </w:p>
        </w:tc>
        <w:tc>
          <w:tcPr>
            <w:tcW w:w="1728" w:type="dxa"/>
            <w:gridSpan w:val="2"/>
            <w:vAlign w:val="center"/>
          </w:tcPr>
          <w:p w14:paraId="665C7BE0" w14:textId="77777777" w:rsidR="00A104CE" w:rsidRPr="00942005" w:rsidRDefault="00A104CE" w:rsidP="00B84237">
            <w:pPr>
              <w:jc w:val="center"/>
              <w:rPr>
                <w:i/>
                <w:sz w:val="21"/>
                <w:szCs w:val="21"/>
              </w:rPr>
            </w:pPr>
            <w:r w:rsidRPr="00E84D59">
              <w:rPr>
                <w:b/>
                <w:sz w:val="21"/>
                <w:szCs w:val="21"/>
              </w:rPr>
              <w:t>.59</w:t>
            </w:r>
            <w:r>
              <w:rPr>
                <w:b/>
                <w:sz w:val="21"/>
                <w:szCs w:val="21"/>
              </w:rPr>
              <w:t xml:space="preserve"> </w:t>
            </w:r>
            <w:r>
              <w:rPr>
                <w:sz w:val="21"/>
                <w:szCs w:val="21"/>
              </w:rPr>
              <w:t>(.04)</w:t>
            </w:r>
          </w:p>
        </w:tc>
      </w:tr>
      <w:tr w:rsidR="00A104CE" w:rsidRPr="00E84D59" w14:paraId="4264A5D0" w14:textId="77777777" w:rsidTr="00B84237">
        <w:trPr>
          <w:gridAfter w:val="1"/>
          <w:wAfter w:w="192" w:type="dxa"/>
          <w:trHeight w:val="308"/>
        </w:trPr>
        <w:tc>
          <w:tcPr>
            <w:tcW w:w="2819" w:type="dxa"/>
            <w:vAlign w:val="center"/>
          </w:tcPr>
          <w:p w14:paraId="4B70086F" w14:textId="77777777" w:rsidR="00A104CE" w:rsidRPr="00E84D59" w:rsidRDefault="00A104CE" w:rsidP="00B84237">
            <w:pPr>
              <w:rPr>
                <w:b/>
                <w:i/>
                <w:sz w:val="21"/>
                <w:szCs w:val="21"/>
              </w:rPr>
            </w:pPr>
            <w:r w:rsidRPr="00E84D59">
              <w:rPr>
                <w:sz w:val="21"/>
                <w:szCs w:val="21"/>
              </w:rPr>
              <w:t>ACME Cognitive Empathy</w:t>
            </w:r>
          </w:p>
        </w:tc>
        <w:tc>
          <w:tcPr>
            <w:tcW w:w="1728" w:type="dxa"/>
            <w:vAlign w:val="center"/>
          </w:tcPr>
          <w:p w14:paraId="240065BD" w14:textId="77777777" w:rsidR="00A104CE" w:rsidRPr="008C60D2" w:rsidRDefault="00A104CE" w:rsidP="00B84237">
            <w:pPr>
              <w:jc w:val="center"/>
              <w:rPr>
                <w:sz w:val="21"/>
                <w:szCs w:val="21"/>
              </w:rPr>
            </w:pPr>
            <w:r>
              <w:rPr>
                <w:sz w:val="21"/>
                <w:szCs w:val="21"/>
              </w:rPr>
              <w:t>-.</w:t>
            </w:r>
            <w:r w:rsidRPr="003E7673">
              <w:rPr>
                <w:b/>
                <w:sz w:val="21"/>
                <w:szCs w:val="21"/>
              </w:rPr>
              <w:t>24</w:t>
            </w:r>
            <w:r>
              <w:rPr>
                <w:b/>
                <w:sz w:val="21"/>
                <w:szCs w:val="21"/>
              </w:rPr>
              <w:t xml:space="preserve"> </w:t>
            </w:r>
            <w:r>
              <w:rPr>
                <w:sz w:val="21"/>
                <w:szCs w:val="21"/>
              </w:rPr>
              <w:t>(.04)</w:t>
            </w:r>
          </w:p>
        </w:tc>
        <w:tc>
          <w:tcPr>
            <w:tcW w:w="1728" w:type="dxa"/>
            <w:vAlign w:val="center"/>
          </w:tcPr>
          <w:p w14:paraId="3E4BCE37" w14:textId="77777777" w:rsidR="00A104CE" w:rsidRPr="008C60D2" w:rsidRDefault="00A104CE" w:rsidP="00B84237">
            <w:pPr>
              <w:jc w:val="center"/>
              <w:rPr>
                <w:i/>
                <w:sz w:val="21"/>
                <w:szCs w:val="21"/>
              </w:rPr>
            </w:pPr>
            <w:r>
              <w:rPr>
                <w:b/>
                <w:sz w:val="21"/>
                <w:szCs w:val="21"/>
              </w:rPr>
              <w:t xml:space="preserve">-.21 </w:t>
            </w:r>
            <w:r>
              <w:rPr>
                <w:sz w:val="21"/>
                <w:szCs w:val="21"/>
              </w:rPr>
              <w:t>(.05)</w:t>
            </w:r>
          </w:p>
        </w:tc>
        <w:tc>
          <w:tcPr>
            <w:tcW w:w="1728" w:type="dxa"/>
            <w:vAlign w:val="center"/>
          </w:tcPr>
          <w:p w14:paraId="7D32E38D" w14:textId="77777777" w:rsidR="00A104CE" w:rsidRPr="00942005" w:rsidRDefault="00A104CE" w:rsidP="00B84237">
            <w:pPr>
              <w:jc w:val="center"/>
              <w:rPr>
                <w:sz w:val="21"/>
                <w:szCs w:val="21"/>
              </w:rPr>
            </w:pPr>
            <w:r w:rsidRPr="009040F7">
              <w:rPr>
                <w:b/>
                <w:sz w:val="21"/>
                <w:szCs w:val="21"/>
              </w:rPr>
              <w:t>-.23</w:t>
            </w:r>
            <w:r>
              <w:rPr>
                <w:b/>
                <w:sz w:val="21"/>
                <w:szCs w:val="21"/>
              </w:rPr>
              <w:t xml:space="preserve"> </w:t>
            </w:r>
            <w:r>
              <w:rPr>
                <w:sz w:val="21"/>
                <w:szCs w:val="21"/>
              </w:rPr>
              <w:t>(.05)</w:t>
            </w:r>
          </w:p>
        </w:tc>
        <w:tc>
          <w:tcPr>
            <w:tcW w:w="1728" w:type="dxa"/>
            <w:gridSpan w:val="2"/>
            <w:vAlign w:val="center"/>
          </w:tcPr>
          <w:p w14:paraId="245094AE" w14:textId="77777777" w:rsidR="00A104CE" w:rsidRPr="00942005" w:rsidRDefault="00A104CE" w:rsidP="00B84237">
            <w:pPr>
              <w:jc w:val="center"/>
              <w:rPr>
                <w:i/>
                <w:sz w:val="21"/>
                <w:szCs w:val="21"/>
              </w:rPr>
            </w:pPr>
            <w:r w:rsidRPr="00E84D59">
              <w:rPr>
                <w:b/>
                <w:sz w:val="21"/>
                <w:szCs w:val="21"/>
              </w:rPr>
              <w:t>-.19</w:t>
            </w:r>
            <w:r>
              <w:rPr>
                <w:b/>
                <w:sz w:val="21"/>
                <w:szCs w:val="21"/>
              </w:rPr>
              <w:t xml:space="preserve"> </w:t>
            </w:r>
            <w:r>
              <w:rPr>
                <w:sz w:val="21"/>
                <w:szCs w:val="21"/>
              </w:rPr>
              <w:t>(.05)</w:t>
            </w:r>
          </w:p>
        </w:tc>
      </w:tr>
      <w:tr w:rsidR="00A104CE" w:rsidRPr="00E84D59" w14:paraId="311B4B59" w14:textId="77777777" w:rsidTr="00B84237">
        <w:trPr>
          <w:gridAfter w:val="1"/>
          <w:wAfter w:w="192" w:type="dxa"/>
          <w:trHeight w:val="308"/>
        </w:trPr>
        <w:tc>
          <w:tcPr>
            <w:tcW w:w="2819" w:type="dxa"/>
            <w:vAlign w:val="center"/>
          </w:tcPr>
          <w:p w14:paraId="2A39E4CC" w14:textId="77777777" w:rsidR="00A104CE" w:rsidRPr="00E84D59" w:rsidRDefault="00A104CE" w:rsidP="00B84237">
            <w:pPr>
              <w:rPr>
                <w:sz w:val="21"/>
                <w:szCs w:val="21"/>
              </w:rPr>
            </w:pPr>
            <w:r w:rsidRPr="00E84D59">
              <w:rPr>
                <w:sz w:val="21"/>
                <w:szCs w:val="21"/>
              </w:rPr>
              <w:t>HEXACO Honesty-humility</w:t>
            </w:r>
          </w:p>
        </w:tc>
        <w:tc>
          <w:tcPr>
            <w:tcW w:w="1728" w:type="dxa"/>
            <w:vAlign w:val="center"/>
          </w:tcPr>
          <w:p w14:paraId="0A0B1D7C" w14:textId="77777777" w:rsidR="00A104CE" w:rsidRPr="008C60D2" w:rsidRDefault="00A104CE" w:rsidP="00B84237">
            <w:pPr>
              <w:jc w:val="center"/>
              <w:rPr>
                <w:sz w:val="21"/>
                <w:szCs w:val="21"/>
              </w:rPr>
            </w:pPr>
            <w:r>
              <w:rPr>
                <w:b/>
                <w:sz w:val="21"/>
                <w:szCs w:val="21"/>
              </w:rPr>
              <w:t xml:space="preserve">-.51 </w:t>
            </w:r>
            <w:r>
              <w:rPr>
                <w:sz w:val="21"/>
                <w:szCs w:val="21"/>
              </w:rPr>
              <w:t>(.04)</w:t>
            </w:r>
          </w:p>
        </w:tc>
        <w:tc>
          <w:tcPr>
            <w:tcW w:w="1728" w:type="dxa"/>
            <w:vAlign w:val="center"/>
          </w:tcPr>
          <w:p w14:paraId="6776DA70" w14:textId="77777777" w:rsidR="00A104CE" w:rsidRPr="008C60D2" w:rsidRDefault="00A104CE" w:rsidP="00B84237">
            <w:pPr>
              <w:jc w:val="center"/>
              <w:rPr>
                <w:sz w:val="21"/>
                <w:szCs w:val="21"/>
              </w:rPr>
            </w:pPr>
            <w:r w:rsidRPr="00E84D59">
              <w:rPr>
                <w:b/>
                <w:sz w:val="21"/>
                <w:szCs w:val="21"/>
              </w:rPr>
              <w:t>-.46</w:t>
            </w:r>
            <w:r>
              <w:rPr>
                <w:b/>
                <w:sz w:val="21"/>
                <w:szCs w:val="21"/>
              </w:rPr>
              <w:t xml:space="preserve"> </w:t>
            </w:r>
            <w:r>
              <w:rPr>
                <w:sz w:val="21"/>
                <w:szCs w:val="21"/>
              </w:rPr>
              <w:t>(.04)</w:t>
            </w:r>
          </w:p>
        </w:tc>
        <w:tc>
          <w:tcPr>
            <w:tcW w:w="1728" w:type="dxa"/>
            <w:vAlign w:val="center"/>
          </w:tcPr>
          <w:p w14:paraId="55A6E3F6" w14:textId="77777777" w:rsidR="00A104CE" w:rsidRPr="00942005" w:rsidRDefault="00A104CE" w:rsidP="00B84237">
            <w:pPr>
              <w:jc w:val="center"/>
              <w:rPr>
                <w:sz w:val="21"/>
                <w:szCs w:val="21"/>
              </w:rPr>
            </w:pPr>
            <w:r>
              <w:rPr>
                <w:b/>
                <w:sz w:val="21"/>
                <w:szCs w:val="21"/>
              </w:rPr>
              <w:t xml:space="preserve">-.42 </w:t>
            </w:r>
            <w:r>
              <w:rPr>
                <w:sz w:val="21"/>
                <w:szCs w:val="21"/>
              </w:rPr>
              <w:t>(.04)</w:t>
            </w:r>
          </w:p>
        </w:tc>
        <w:tc>
          <w:tcPr>
            <w:tcW w:w="1728" w:type="dxa"/>
            <w:gridSpan w:val="2"/>
            <w:vAlign w:val="center"/>
          </w:tcPr>
          <w:p w14:paraId="7E843612" w14:textId="77777777" w:rsidR="00A104CE" w:rsidRPr="00942005" w:rsidRDefault="00A104CE" w:rsidP="00B84237">
            <w:pPr>
              <w:jc w:val="center"/>
              <w:rPr>
                <w:sz w:val="21"/>
                <w:szCs w:val="21"/>
              </w:rPr>
            </w:pPr>
            <w:r w:rsidRPr="00E84D59">
              <w:rPr>
                <w:b/>
                <w:sz w:val="21"/>
                <w:szCs w:val="21"/>
              </w:rPr>
              <w:t>-.42</w:t>
            </w:r>
            <w:r>
              <w:rPr>
                <w:b/>
                <w:sz w:val="21"/>
                <w:szCs w:val="21"/>
              </w:rPr>
              <w:t xml:space="preserve"> </w:t>
            </w:r>
            <w:r>
              <w:rPr>
                <w:sz w:val="21"/>
                <w:szCs w:val="21"/>
              </w:rPr>
              <w:t>(.05)</w:t>
            </w:r>
          </w:p>
        </w:tc>
      </w:tr>
      <w:tr w:rsidR="00A104CE" w:rsidRPr="00E84D59" w14:paraId="233D8CE2" w14:textId="77777777" w:rsidTr="00B84237">
        <w:trPr>
          <w:gridAfter w:val="1"/>
          <w:wAfter w:w="192" w:type="dxa"/>
          <w:trHeight w:val="308"/>
        </w:trPr>
        <w:tc>
          <w:tcPr>
            <w:tcW w:w="2819" w:type="dxa"/>
            <w:vAlign w:val="center"/>
          </w:tcPr>
          <w:p w14:paraId="7F266414" w14:textId="77777777" w:rsidR="00A104CE" w:rsidRPr="00E84D59" w:rsidRDefault="00A104CE" w:rsidP="00B84237">
            <w:pPr>
              <w:rPr>
                <w:sz w:val="21"/>
                <w:szCs w:val="21"/>
              </w:rPr>
            </w:pPr>
            <w:r w:rsidRPr="00E84D59">
              <w:rPr>
                <w:sz w:val="21"/>
                <w:szCs w:val="21"/>
              </w:rPr>
              <w:t>HEXACO Emotionality</w:t>
            </w:r>
          </w:p>
        </w:tc>
        <w:tc>
          <w:tcPr>
            <w:tcW w:w="1728" w:type="dxa"/>
            <w:vAlign w:val="center"/>
          </w:tcPr>
          <w:p w14:paraId="7EDA4FCB" w14:textId="77777777" w:rsidR="00A104CE" w:rsidRPr="008C60D2" w:rsidRDefault="00A104CE" w:rsidP="00B84237">
            <w:pPr>
              <w:jc w:val="center"/>
              <w:rPr>
                <w:sz w:val="21"/>
                <w:szCs w:val="21"/>
              </w:rPr>
            </w:pPr>
            <w:r>
              <w:rPr>
                <w:b/>
                <w:sz w:val="21"/>
                <w:szCs w:val="21"/>
              </w:rPr>
              <w:t xml:space="preserve">-.17 </w:t>
            </w:r>
            <w:r>
              <w:rPr>
                <w:sz w:val="21"/>
                <w:szCs w:val="21"/>
              </w:rPr>
              <w:t>(.05)</w:t>
            </w:r>
          </w:p>
        </w:tc>
        <w:tc>
          <w:tcPr>
            <w:tcW w:w="1728" w:type="dxa"/>
            <w:vAlign w:val="center"/>
          </w:tcPr>
          <w:p w14:paraId="18341AC1" w14:textId="77777777" w:rsidR="00A104CE" w:rsidRPr="00E84D59" w:rsidRDefault="00A104CE" w:rsidP="00B84237">
            <w:pPr>
              <w:jc w:val="center"/>
              <w:rPr>
                <w:b/>
                <w:sz w:val="21"/>
                <w:szCs w:val="21"/>
              </w:rPr>
            </w:pPr>
            <w:r w:rsidRPr="00E84D59">
              <w:rPr>
                <w:sz w:val="21"/>
                <w:szCs w:val="21"/>
              </w:rPr>
              <w:t>-.12</w:t>
            </w:r>
            <w:r>
              <w:rPr>
                <w:sz w:val="21"/>
                <w:szCs w:val="21"/>
              </w:rPr>
              <w:t xml:space="preserve"> (.06)</w:t>
            </w:r>
          </w:p>
        </w:tc>
        <w:tc>
          <w:tcPr>
            <w:tcW w:w="1728" w:type="dxa"/>
            <w:vAlign w:val="center"/>
          </w:tcPr>
          <w:p w14:paraId="21F32945" w14:textId="77777777" w:rsidR="00A104CE" w:rsidRPr="00942005" w:rsidRDefault="00A104CE" w:rsidP="00B84237">
            <w:pPr>
              <w:jc w:val="center"/>
              <w:rPr>
                <w:sz w:val="21"/>
                <w:szCs w:val="21"/>
              </w:rPr>
            </w:pPr>
            <w:r w:rsidRPr="009040F7">
              <w:rPr>
                <w:i/>
                <w:sz w:val="21"/>
                <w:szCs w:val="21"/>
              </w:rPr>
              <w:t>-.13</w:t>
            </w:r>
            <w:r>
              <w:rPr>
                <w:i/>
                <w:sz w:val="21"/>
                <w:szCs w:val="21"/>
              </w:rPr>
              <w:t xml:space="preserve"> </w:t>
            </w:r>
            <w:r>
              <w:rPr>
                <w:sz w:val="21"/>
                <w:szCs w:val="21"/>
              </w:rPr>
              <w:t>(.05)</w:t>
            </w:r>
          </w:p>
        </w:tc>
        <w:tc>
          <w:tcPr>
            <w:tcW w:w="1728" w:type="dxa"/>
            <w:gridSpan w:val="2"/>
            <w:vAlign w:val="center"/>
          </w:tcPr>
          <w:p w14:paraId="0882F6AA" w14:textId="77777777" w:rsidR="00A104CE" w:rsidRPr="00942005" w:rsidRDefault="00A104CE" w:rsidP="00B84237">
            <w:pPr>
              <w:jc w:val="center"/>
              <w:rPr>
                <w:b/>
                <w:sz w:val="21"/>
                <w:szCs w:val="21"/>
              </w:rPr>
            </w:pPr>
            <w:r w:rsidRPr="009040F7">
              <w:rPr>
                <w:i/>
                <w:sz w:val="21"/>
                <w:szCs w:val="21"/>
              </w:rPr>
              <w:t>-.15</w:t>
            </w:r>
            <w:r>
              <w:rPr>
                <w:i/>
                <w:sz w:val="21"/>
                <w:szCs w:val="21"/>
              </w:rPr>
              <w:t xml:space="preserve"> </w:t>
            </w:r>
            <w:r>
              <w:rPr>
                <w:sz w:val="21"/>
                <w:szCs w:val="21"/>
              </w:rPr>
              <w:t>(.06)</w:t>
            </w:r>
          </w:p>
        </w:tc>
      </w:tr>
      <w:tr w:rsidR="00A104CE" w:rsidRPr="00E84D59" w14:paraId="347A9828" w14:textId="77777777" w:rsidTr="00B84237">
        <w:trPr>
          <w:gridAfter w:val="1"/>
          <w:wAfter w:w="192" w:type="dxa"/>
          <w:trHeight w:val="308"/>
        </w:trPr>
        <w:tc>
          <w:tcPr>
            <w:tcW w:w="2819" w:type="dxa"/>
            <w:vAlign w:val="center"/>
          </w:tcPr>
          <w:p w14:paraId="0B528BA1" w14:textId="77777777" w:rsidR="00A104CE" w:rsidRPr="00E84D59" w:rsidRDefault="00A104CE" w:rsidP="00B84237">
            <w:pPr>
              <w:rPr>
                <w:sz w:val="21"/>
                <w:szCs w:val="21"/>
              </w:rPr>
            </w:pPr>
            <w:r w:rsidRPr="00E84D59">
              <w:rPr>
                <w:sz w:val="21"/>
                <w:szCs w:val="21"/>
              </w:rPr>
              <w:t>HEXACO Extraversion</w:t>
            </w:r>
          </w:p>
        </w:tc>
        <w:tc>
          <w:tcPr>
            <w:tcW w:w="1728" w:type="dxa"/>
            <w:vAlign w:val="center"/>
          </w:tcPr>
          <w:p w14:paraId="78C34493" w14:textId="77777777" w:rsidR="00A104CE" w:rsidRPr="007A157D" w:rsidRDefault="00A104CE" w:rsidP="00B84237">
            <w:pPr>
              <w:jc w:val="center"/>
              <w:rPr>
                <w:sz w:val="21"/>
                <w:szCs w:val="21"/>
              </w:rPr>
            </w:pPr>
            <w:r w:rsidRPr="007A157D">
              <w:rPr>
                <w:sz w:val="21"/>
                <w:szCs w:val="21"/>
              </w:rPr>
              <w:t>-.07</w:t>
            </w:r>
            <w:r>
              <w:rPr>
                <w:sz w:val="21"/>
                <w:szCs w:val="21"/>
              </w:rPr>
              <w:t xml:space="preserve"> (.05)</w:t>
            </w:r>
          </w:p>
        </w:tc>
        <w:tc>
          <w:tcPr>
            <w:tcW w:w="1728" w:type="dxa"/>
            <w:vAlign w:val="center"/>
          </w:tcPr>
          <w:p w14:paraId="762AB83B" w14:textId="77777777" w:rsidR="00A104CE" w:rsidRPr="00E84D59" w:rsidRDefault="00A104CE" w:rsidP="00B84237">
            <w:pPr>
              <w:jc w:val="center"/>
              <w:rPr>
                <w:b/>
                <w:sz w:val="21"/>
                <w:szCs w:val="21"/>
              </w:rPr>
            </w:pPr>
            <w:r w:rsidRPr="00E84D59">
              <w:rPr>
                <w:sz w:val="21"/>
                <w:szCs w:val="21"/>
              </w:rPr>
              <w:t>.02</w:t>
            </w:r>
            <w:r>
              <w:rPr>
                <w:sz w:val="21"/>
                <w:szCs w:val="21"/>
              </w:rPr>
              <w:t xml:space="preserve"> (.06)</w:t>
            </w:r>
          </w:p>
        </w:tc>
        <w:tc>
          <w:tcPr>
            <w:tcW w:w="1728" w:type="dxa"/>
            <w:vAlign w:val="center"/>
          </w:tcPr>
          <w:p w14:paraId="5FEAA0F3" w14:textId="77777777" w:rsidR="00A104CE" w:rsidRPr="009040F7" w:rsidRDefault="00A104CE" w:rsidP="00B84237">
            <w:pPr>
              <w:jc w:val="center"/>
              <w:rPr>
                <w:sz w:val="21"/>
                <w:szCs w:val="21"/>
              </w:rPr>
            </w:pPr>
            <w:r w:rsidRPr="009040F7">
              <w:rPr>
                <w:sz w:val="21"/>
                <w:szCs w:val="21"/>
              </w:rPr>
              <w:t>.13</w:t>
            </w:r>
            <w:r>
              <w:rPr>
                <w:sz w:val="21"/>
                <w:szCs w:val="21"/>
              </w:rPr>
              <w:t xml:space="preserve"> (.05)</w:t>
            </w:r>
          </w:p>
        </w:tc>
        <w:tc>
          <w:tcPr>
            <w:tcW w:w="1728" w:type="dxa"/>
            <w:gridSpan w:val="2"/>
            <w:vAlign w:val="center"/>
          </w:tcPr>
          <w:p w14:paraId="472D6B4F" w14:textId="77777777" w:rsidR="00A104CE" w:rsidRPr="00E84D59" w:rsidRDefault="00A104CE" w:rsidP="00B84237">
            <w:pPr>
              <w:jc w:val="center"/>
              <w:rPr>
                <w:b/>
                <w:sz w:val="21"/>
                <w:szCs w:val="21"/>
              </w:rPr>
            </w:pPr>
            <w:r>
              <w:rPr>
                <w:sz w:val="21"/>
                <w:szCs w:val="21"/>
              </w:rPr>
              <w:t>.12 (.06)</w:t>
            </w:r>
          </w:p>
        </w:tc>
      </w:tr>
      <w:tr w:rsidR="00A104CE" w:rsidRPr="00E84D59" w14:paraId="356F7E7C" w14:textId="77777777" w:rsidTr="00B84237">
        <w:trPr>
          <w:gridAfter w:val="1"/>
          <w:wAfter w:w="192" w:type="dxa"/>
          <w:trHeight w:val="308"/>
        </w:trPr>
        <w:tc>
          <w:tcPr>
            <w:tcW w:w="2819" w:type="dxa"/>
            <w:vAlign w:val="center"/>
          </w:tcPr>
          <w:p w14:paraId="5E2C03EE" w14:textId="77777777" w:rsidR="00A104CE" w:rsidRPr="00E84D59" w:rsidRDefault="00A104CE" w:rsidP="00B84237">
            <w:pPr>
              <w:rPr>
                <w:sz w:val="21"/>
                <w:szCs w:val="21"/>
              </w:rPr>
            </w:pPr>
            <w:r w:rsidRPr="00E84D59">
              <w:rPr>
                <w:sz w:val="21"/>
                <w:szCs w:val="21"/>
              </w:rPr>
              <w:t>HEXACO Agreeableness</w:t>
            </w:r>
          </w:p>
        </w:tc>
        <w:tc>
          <w:tcPr>
            <w:tcW w:w="1728" w:type="dxa"/>
            <w:vAlign w:val="center"/>
          </w:tcPr>
          <w:p w14:paraId="599FB3A7" w14:textId="77777777" w:rsidR="00A104CE" w:rsidRPr="008C60D2" w:rsidRDefault="00A104CE" w:rsidP="00B84237">
            <w:pPr>
              <w:jc w:val="center"/>
              <w:rPr>
                <w:sz w:val="21"/>
                <w:szCs w:val="21"/>
              </w:rPr>
            </w:pPr>
            <w:r>
              <w:rPr>
                <w:b/>
                <w:sz w:val="21"/>
                <w:szCs w:val="21"/>
              </w:rPr>
              <w:t xml:space="preserve">-.31 </w:t>
            </w:r>
            <w:r>
              <w:rPr>
                <w:sz w:val="21"/>
                <w:szCs w:val="21"/>
              </w:rPr>
              <w:t>(.05)</w:t>
            </w:r>
          </w:p>
        </w:tc>
        <w:tc>
          <w:tcPr>
            <w:tcW w:w="1728" w:type="dxa"/>
            <w:vAlign w:val="center"/>
          </w:tcPr>
          <w:p w14:paraId="5EBBE09D" w14:textId="77777777" w:rsidR="00A104CE" w:rsidRPr="008C60D2" w:rsidRDefault="00A104CE" w:rsidP="00B84237">
            <w:pPr>
              <w:jc w:val="center"/>
              <w:rPr>
                <w:sz w:val="21"/>
                <w:szCs w:val="21"/>
              </w:rPr>
            </w:pPr>
            <w:r>
              <w:rPr>
                <w:b/>
                <w:sz w:val="21"/>
                <w:szCs w:val="21"/>
              </w:rPr>
              <w:t xml:space="preserve">-.27 </w:t>
            </w:r>
            <w:r>
              <w:rPr>
                <w:sz w:val="21"/>
                <w:szCs w:val="21"/>
              </w:rPr>
              <w:t>(.05)</w:t>
            </w:r>
          </w:p>
        </w:tc>
        <w:tc>
          <w:tcPr>
            <w:tcW w:w="1728" w:type="dxa"/>
            <w:vAlign w:val="center"/>
          </w:tcPr>
          <w:p w14:paraId="68A4C3CB" w14:textId="77777777" w:rsidR="00A104CE" w:rsidRPr="00942005" w:rsidRDefault="00A104CE" w:rsidP="00B84237">
            <w:pPr>
              <w:jc w:val="center"/>
              <w:rPr>
                <w:sz w:val="21"/>
                <w:szCs w:val="21"/>
              </w:rPr>
            </w:pPr>
            <w:r>
              <w:rPr>
                <w:b/>
                <w:sz w:val="21"/>
                <w:szCs w:val="21"/>
              </w:rPr>
              <w:t xml:space="preserve">-.25 </w:t>
            </w:r>
            <w:r>
              <w:rPr>
                <w:sz w:val="21"/>
                <w:szCs w:val="21"/>
              </w:rPr>
              <w:t>(.05)</w:t>
            </w:r>
          </w:p>
        </w:tc>
        <w:tc>
          <w:tcPr>
            <w:tcW w:w="1728" w:type="dxa"/>
            <w:gridSpan w:val="2"/>
            <w:vAlign w:val="center"/>
          </w:tcPr>
          <w:p w14:paraId="13F83E02" w14:textId="77777777" w:rsidR="00A104CE" w:rsidRPr="00E84D59" w:rsidRDefault="00A104CE" w:rsidP="00B84237">
            <w:pPr>
              <w:jc w:val="center"/>
              <w:rPr>
                <w:b/>
                <w:sz w:val="21"/>
                <w:szCs w:val="21"/>
              </w:rPr>
            </w:pPr>
            <w:r w:rsidRPr="00E84D59">
              <w:rPr>
                <w:sz w:val="21"/>
                <w:szCs w:val="21"/>
              </w:rPr>
              <w:t>-.14</w:t>
            </w:r>
            <w:r>
              <w:rPr>
                <w:sz w:val="21"/>
                <w:szCs w:val="21"/>
              </w:rPr>
              <w:t xml:space="preserve"> (.06)</w:t>
            </w:r>
          </w:p>
        </w:tc>
      </w:tr>
      <w:tr w:rsidR="00A104CE" w:rsidRPr="00E84D59" w14:paraId="246C136B" w14:textId="77777777" w:rsidTr="00B84237">
        <w:trPr>
          <w:gridAfter w:val="1"/>
          <w:wAfter w:w="192" w:type="dxa"/>
          <w:trHeight w:val="308"/>
        </w:trPr>
        <w:tc>
          <w:tcPr>
            <w:tcW w:w="2819" w:type="dxa"/>
            <w:vAlign w:val="center"/>
          </w:tcPr>
          <w:p w14:paraId="115437E3" w14:textId="77777777" w:rsidR="00A104CE" w:rsidRPr="00E84D59" w:rsidRDefault="00A104CE" w:rsidP="00B84237">
            <w:pPr>
              <w:rPr>
                <w:sz w:val="21"/>
                <w:szCs w:val="21"/>
              </w:rPr>
            </w:pPr>
            <w:r w:rsidRPr="00E84D59">
              <w:rPr>
                <w:sz w:val="21"/>
                <w:szCs w:val="21"/>
              </w:rPr>
              <w:t>HEXACO Conscientiousness</w:t>
            </w:r>
          </w:p>
        </w:tc>
        <w:tc>
          <w:tcPr>
            <w:tcW w:w="1728" w:type="dxa"/>
            <w:vAlign w:val="center"/>
          </w:tcPr>
          <w:p w14:paraId="66F0B4F6" w14:textId="77777777" w:rsidR="00A104CE" w:rsidRPr="008C60D2" w:rsidRDefault="00A104CE" w:rsidP="00B84237">
            <w:pPr>
              <w:jc w:val="center"/>
              <w:rPr>
                <w:sz w:val="21"/>
                <w:szCs w:val="21"/>
              </w:rPr>
            </w:pPr>
            <w:r>
              <w:rPr>
                <w:b/>
                <w:sz w:val="21"/>
                <w:szCs w:val="21"/>
              </w:rPr>
              <w:t xml:space="preserve">-.52 </w:t>
            </w:r>
            <w:r>
              <w:rPr>
                <w:sz w:val="21"/>
                <w:szCs w:val="21"/>
              </w:rPr>
              <w:t>(.04)</w:t>
            </w:r>
          </w:p>
        </w:tc>
        <w:tc>
          <w:tcPr>
            <w:tcW w:w="1728" w:type="dxa"/>
            <w:vAlign w:val="center"/>
          </w:tcPr>
          <w:p w14:paraId="3B5B35BB" w14:textId="77777777" w:rsidR="00A104CE" w:rsidRPr="008C60D2" w:rsidRDefault="00A104CE" w:rsidP="00B84237">
            <w:pPr>
              <w:jc w:val="center"/>
              <w:rPr>
                <w:sz w:val="21"/>
                <w:szCs w:val="21"/>
              </w:rPr>
            </w:pPr>
            <w:r>
              <w:rPr>
                <w:b/>
                <w:sz w:val="21"/>
                <w:szCs w:val="21"/>
              </w:rPr>
              <w:t xml:space="preserve">-.51 </w:t>
            </w:r>
            <w:r>
              <w:rPr>
                <w:sz w:val="21"/>
                <w:szCs w:val="21"/>
              </w:rPr>
              <w:t>(.03)</w:t>
            </w:r>
          </w:p>
        </w:tc>
        <w:tc>
          <w:tcPr>
            <w:tcW w:w="1728" w:type="dxa"/>
            <w:vAlign w:val="center"/>
          </w:tcPr>
          <w:p w14:paraId="35292425" w14:textId="77777777" w:rsidR="00A104CE" w:rsidRPr="00942005" w:rsidRDefault="00A104CE" w:rsidP="00B84237">
            <w:pPr>
              <w:jc w:val="center"/>
              <w:rPr>
                <w:sz w:val="21"/>
                <w:szCs w:val="21"/>
              </w:rPr>
            </w:pPr>
            <w:r>
              <w:rPr>
                <w:b/>
                <w:sz w:val="21"/>
                <w:szCs w:val="21"/>
              </w:rPr>
              <w:t xml:space="preserve">-.38 </w:t>
            </w:r>
            <w:r>
              <w:rPr>
                <w:sz w:val="21"/>
                <w:szCs w:val="21"/>
              </w:rPr>
              <w:t>(.04)</w:t>
            </w:r>
          </w:p>
        </w:tc>
        <w:tc>
          <w:tcPr>
            <w:tcW w:w="1728" w:type="dxa"/>
            <w:gridSpan w:val="2"/>
            <w:vAlign w:val="center"/>
          </w:tcPr>
          <w:p w14:paraId="065C77C9" w14:textId="77777777" w:rsidR="00A104CE" w:rsidRPr="00942005" w:rsidRDefault="00A104CE" w:rsidP="00B84237">
            <w:pPr>
              <w:jc w:val="center"/>
              <w:rPr>
                <w:sz w:val="21"/>
                <w:szCs w:val="21"/>
              </w:rPr>
            </w:pPr>
            <w:r w:rsidRPr="00E84D59">
              <w:rPr>
                <w:b/>
                <w:sz w:val="21"/>
                <w:szCs w:val="21"/>
              </w:rPr>
              <w:t>-.46</w:t>
            </w:r>
            <w:r>
              <w:rPr>
                <w:b/>
                <w:sz w:val="21"/>
                <w:szCs w:val="21"/>
              </w:rPr>
              <w:t xml:space="preserve"> </w:t>
            </w:r>
            <w:r>
              <w:rPr>
                <w:sz w:val="21"/>
                <w:szCs w:val="21"/>
              </w:rPr>
              <w:t>(.04)</w:t>
            </w:r>
          </w:p>
        </w:tc>
      </w:tr>
      <w:tr w:rsidR="00A104CE" w:rsidRPr="00E84D59" w14:paraId="37B9D5DA" w14:textId="77777777" w:rsidTr="00B84237">
        <w:trPr>
          <w:gridAfter w:val="1"/>
          <w:wAfter w:w="192" w:type="dxa"/>
          <w:trHeight w:val="308"/>
        </w:trPr>
        <w:tc>
          <w:tcPr>
            <w:tcW w:w="2819" w:type="dxa"/>
            <w:vAlign w:val="center"/>
          </w:tcPr>
          <w:p w14:paraId="6131A897" w14:textId="77777777" w:rsidR="00A104CE" w:rsidRPr="00E84D59" w:rsidRDefault="00A104CE" w:rsidP="00B84237">
            <w:pPr>
              <w:rPr>
                <w:sz w:val="21"/>
                <w:szCs w:val="21"/>
              </w:rPr>
            </w:pPr>
            <w:r w:rsidRPr="00E84D59">
              <w:rPr>
                <w:sz w:val="21"/>
                <w:szCs w:val="21"/>
              </w:rPr>
              <w:t xml:space="preserve">HEXACO Openness </w:t>
            </w:r>
          </w:p>
        </w:tc>
        <w:tc>
          <w:tcPr>
            <w:tcW w:w="1728" w:type="dxa"/>
            <w:vAlign w:val="center"/>
          </w:tcPr>
          <w:p w14:paraId="491D95F3" w14:textId="77777777" w:rsidR="00A104CE" w:rsidRPr="003A4D6C" w:rsidRDefault="00A104CE" w:rsidP="00B84237">
            <w:pPr>
              <w:jc w:val="center"/>
              <w:rPr>
                <w:sz w:val="21"/>
                <w:szCs w:val="21"/>
              </w:rPr>
            </w:pPr>
            <w:r>
              <w:rPr>
                <w:b/>
                <w:sz w:val="21"/>
                <w:szCs w:val="21"/>
              </w:rPr>
              <w:t xml:space="preserve">-.36 </w:t>
            </w:r>
            <w:r>
              <w:rPr>
                <w:sz w:val="21"/>
                <w:szCs w:val="21"/>
              </w:rPr>
              <w:t>(.04)</w:t>
            </w:r>
          </w:p>
        </w:tc>
        <w:tc>
          <w:tcPr>
            <w:tcW w:w="1728" w:type="dxa"/>
            <w:vAlign w:val="center"/>
          </w:tcPr>
          <w:p w14:paraId="0F0E771A" w14:textId="77777777" w:rsidR="00A104CE" w:rsidRPr="003A4D6C" w:rsidRDefault="00A104CE" w:rsidP="00B84237">
            <w:pPr>
              <w:jc w:val="center"/>
              <w:rPr>
                <w:sz w:val="21"/>
                <w:szCs w:val="21"/>
              </w:rPr>
            </w:pPr>
            <w:r>
              <w:rPr>
                <w:b/>
                <w:sz w:val="21"/>
                <w:szCs w:val="21"/>
              </w:rPr>
              <w:t xml:space="preserve">-.29 </w:t>
            </w:r>
            <w:r>
              <w:rPr>
                <w:sz w:val="21"/>
                <w:szCs w:val="21"/>
              </w:rPr>
              <w:t>(.04)</w:t>
            </w:r>
          </w:p>
        </w:tc>
        <w:tc>
          <w:tcPr>
            <w:tcW w:w="1728" w:type="dxa"/>
            <w:vAlign w:val="center"/>
          </w:tcPr>
          <w:p w14:paraId="38FBE288" w14:textId="77777777" w:rsidR="00A104CE" w:rsidRPr="00942005" w:rsidRDefault="00A104CE" w:rsidP="00B84237">
            <w:pPr>
              <w:jc w:val="center"/>
              <w:rPr>
                <w:sz w:val="21"/>
                <w:szCs w:val="21"/>
              </w:rPr>
            </w:pPr>
            <w:r>
              <w:rPr>
                <w:b/>
                <w:sz w:val="21"/>
                <w:szCs w:val="21"/>
              </w:rPr>
              <w:t>-.32 (</w:t>
            </w:r>
            <w:r>
              <w:rPr>
                <w:sz w:val="21"/>
                <w:szCs w:val="21"/>
              </w:rPr>
              <w:t>.04)</w:t>
            </w:r>
          </w:p>
        </w:tc>
        <w:tc>
          <w:tcPr>
            <w:tcW w:w="1728" w:type="dxa"/>
            <w:gridSpan w:val="2"/>
            <w:vAlign w:val="center"/>
          </w:tcPr>
          <w:p w14:paraId="322E5D30" w14:textId="77777777" w:rsidR="00A104CE" w:rsidRPr="00E84D59" w:rsidRDefault="00A104CE" w:rsidP="00B84237">
            <w:pPr>
              <w:jc w:val="center"/>
              <w:rPr>
                <w:b/>
                <w:sz w:val="21"/>
                <w:szCs w:val="21"/>
              </w:rPr>
            </w:pPr>
            <w:r w:rsidRPr="00E84D59">
              <w:rPr>
                <w:sz w:val="21"/>
                <w:szCs w:val="21"/>
              </w:rPr>
              <w:t>-.13</w:t>
            </w:r>
            <w:r>
              <w:rPr>
                <w:sz w:val="21"/>
                <w:szCs w:val="21"/>
              </w:rPr>
              <w:t xml:space="preserve"> (.06)</w:t>
            </w:r>
          </w:p>
        </w:tc>
      </w:tr>
      <w:tr w:rsidR="00A104CE" w:rsidRPr="00E84D59" w14:paraId="15A1D6D5" w14:textId="77777777" w:rsidTr="00B84237">
        <w:trPr>
          <w:gridAfter w:val="1"/>
          <w:wAfter w:w="192" w:type="dxa"/>
          <w:trHeight w:val="308"/>
        </w:trPr>
        <w:tc>
          <w:tcPr>
            <w:tcW w:w="2819" w:type="dxa"/>
            <w:vAlign w:val="center"/>
          </w:tcPr>
          <w:p w14:paraId="6F4DD6BF" w14:textId="77777777" w:rsidR="00A104CE" w:rsidRPr="00E84D59" w:rsidRDefault="00A104CE" w:rsidP="00B84237">
            <w:pPr>
              <w:rPr>
                <w:sz w:val="21"/>
                <w:szCs w:val="21"/>
              </w:rPr>
            </w:pPr>
            <w:r w:rsidRPr="00E84D59">
              <w:rPr>
                <w:sz w:val="21"/>
                <w:szCs w:val="21"/>
              </w:rPr>
              <w:t xml:space="preserve">NPI Leadership Authority </w:t>
            </w:r>
          </w:p>
        </w:tc>
        <w:tc>
          <w:tcPr>
            <w:tcW w:w="1728" w:type="dxa"/>
            <w:vAlign w:val="center"/>
          </w:tcPr>
          <w:p w14:paraId="18345354" w14:textId="77777777" w:rsidR="00A104CE" w:rsidRPr="003A4D6C" w:rsidRDefault="00A104CE" w:rsidP="00B84237">
            <w:pPr>
              <w:jc w:val="center"/>
              <w:rPr>
                <w:sz w:val="21"/>
                <w:szCs w:val="21"/>
              </w:rPr>
            </w:pPr>
            <w:r w:rsidRPr="00E84D59">
              <w:rPr>
                <w:b/>
                <w:sz w:val="21"/>
                <w:szCs w:val="21"/>
              </w:rPr>
              <w:t>.32</w:t>
            </w:r>
            <w:r>
              <w:rPr>
                <w:b/>
                <w:sz w:val="21"/>
                <w:szCs w:val="21"/>
              </w:rPr>
              <w:t xml:space="preserve"> </w:t>
            </w:r>
            <w:r>
              <w:rPr>
                <w:sz w:val="21"/>
                <w:szCs w:val="21"/>
              </w:rPr>
              <w:t>(.04)</w:t>
            </w:r>
          </w:p>
        </w:tc>
        <w:tc>
          <w:tcPr>
            <w:tcW w:w="1728" w:type="dxa"/>
            <w:vAlign w:val="center"/>
          </w:tcPr>
          <w:p w14:paraId="2A6D6D65" w14:textId="77777777" w:rsidR="00A104CE" w:rsidRPr="003A4D6C" w:rsidRDefault="00A104CE" w:rsidP="00B84237">
            <w:pPr>
              <w:jc w:val="center"/>
              <w:rPr>
                <w:sz w:val="21"/>
                <w:szCs w:val="21"/>
              </w:rPr>
            </w:pPr>
            <w:r w:rsidRPr="00E84D59">
              <w:rPr>
                <w:b/>
                <w:sz w:val="21"/>
                <w:szCs w:val="21"/>
              </w:rPr>
              <w:t>.39</w:t>
            </w:r>
            <w:r>
              <w:rPr>
                <w:b/>
                <w:sz w:val="21"/>
                <w:szCs w:val="21"/>
              </w:rPr>
              <w:t xml:space="preserve"> </w:t>
            </w:r>
            <w:r>
              <w:rPr>
                <w:sz w:val="21"/>
                <w:szCs w:val="21"/>
              </w:rPr>
              <w:t>(.03)</w:t>
            </w:r>
          </w:p>
        </w:tc>
        <w:tc>
          <w:tcPr>
            <w:tcW w:w="1728" w:type="dxa"/>
            <w:vAlign w:val="center"/>
          </w:tcPr>
          <w:p w14:paraId="430A9827" w14:textId="77777777" w:rsidR="00A104CE" w:rsidRPr="00942005" w:rsidRDefault="00A104CE" w:rsidP="00B84237">
            <w:pPr>
              <w:jc w:val="center"/>
              <w:rPr>
                <w:sz w:val="21"/>
                <w:szCs w:val="21"/>
              </w:rPr>
            </w:pPr>
            <w:r w:rsidRPr="00693428">
              <w:rPr>
                <w:b/>
                <w:sz w:val="21"/>
                <w:szCs w:val="21"/>
              </w:rPr>
              <w:t>.33</w:t>
            </w:r>
            <w:r>
              <w:rPr>
                <w:b/>
                <w:sz w:val="21"/>
                <w:szCs w:val="21"/>
              </w:rPr>
              <w:t xml:space="preserve"> </w:t>
            </w:r>
            <w:r>
              <w:rPr>
                <w:sz w:val="21"/>
                <w:szCs w:val="21"/>
              </w:rPr>
              <w:t>(.05)</w:t>
            </w:r>
          </w:p>
        </w:tc>
        <w:tc>
          <w:tcPr>
            <w:tcW w:w="1728" w:type="dxa"/>
            <w:gridSpan w:val="2"/>
            <w:vAlign w:val="center"/>
          </w:tcPr>
          <w:p w14:paraId="087BEF8E" w14:textId="77777777" w:rsidR="00A104CE" w:rsidRPr="00942005" w:rsidRDefault="00A104CE" w:rsidP="00B84237">
            <w:pPr>
              <w:jc w:val="center"/>
              <w:rPr>
                <w:sz w:val="21"/>
                <w:szCs w:val="21"/>
                <w:highlight w:val="yellow"/>
              </w:rPr>
            </w:pPr>
            <w:r w:rsidRPr="00E84D59">
              <w:rPr>
                <w:b/>
                <w:sz w:val="21"/>
                <w:szCs w:val="21"/>
              </w:rPr>
              <w:t>.32</w:t>
            </w:r>
            <w:r>
              <w:rPr>
                <w:b/>
                <w:sz w:val="21"/>
                <w:szCs w:val="21"/>
              </w:rPr>
              <w:t xml:space="preserve"> </w:t>
            </w:r>
            <w:r>
              <w:rPr>
                <w:sz w:val="21"/>
                <w:szCs w:val="21"/>
              </w:rPr>
              <w:t>(.05)</w:t>
            </w:r>
          </w:p>
        </w:tc>
      </w:tr>
      <w:tr w:rsidR="00A104CE" w:rsidRPr="00E84D59" w14:paraId="55719A49" w14:textId="77777777" w:rsidTr="00B84237">
        <w:trPr>
          <w:gridAfter w:val="1"/>
          <w:wAfter w:w="192" w:type="dxa"/>
          <w:trHeight w:val="308"/>
        </w:trPr>
        <w:tc>
          <w:tcPr>
            <w:tcW w:w="2819" w:type="dxa"/>
            <w:vAlign w:val="center"/>
          </w:tcPr>
          <w:p w14:paraId="7CBB5E5A" w14:textId="77777777" w:rsidR="00A104CE" w:rsidRPr="00E84D59" w:rsidRDefault="00A104CE" w:rsidP="00B84237">
            <w:pPr>
              <w:rPr>
                <w:sz w:val="21"/>
                <w:szCs w:val="21"/>
              </w:rPr>
            </w:pPr>
            <w:r w:rsidRPr="00E84D59">
              <w:rPr>
                <w:sz w:val="21"/>
                <w:szCs w:val="21"/>
              </w:rPr>
              <w:t>NPI Grandiose Exhibitionism</w:t>
            </w:r>
          </w:p>
        </w:tc>
        <w:tc>
          <w:tcPr>
            <w:tcW w:w="1728" w:type="dxa"/>
            <w:vAlign w:val="center"/>
          </w:tcPr>
          <w:p w14:paraId="3B1F8CA5" w14:textId="77777777" w:rsidR="00A104CE" w:rsidRPr="003A4D6C" w:rsidRDefault="00A104CE" w:rsidP="00B84237">
            <w:pPr>
              <w:jc w:val="center"/>
              <w:rPr>
                <w:sz w:val="21"/>
                <w:szCs w:val="21"/>
              </w:rPr>
            </w:pPr>
            <w:r w:rsidRPr="00E84D59">
              <w:rPr>
                <w:b/>
                <w:sz w:val="21"/>
                <w:szCs w:val="21"/>
              </w:rPr>
              <w:t>.40</w:t>
            </w:r>
            <w:r>
              <w:rPr>
                <w:b/>
                <w:sz w:val="21"/>
                <w:szCs w:val="21"/>
              </w:rPr>
              <w:t xml:space="preserve"> </w:t>
            </w:r>
            <w:r>
              <w:rPr>
                <w:sz w:val="21"/>
                <w:szCs w:val="21"/>
              </w:rPr>
              <w:t>(.05)</w:t>
            </w:r>
          </w:p>
        </w:tc>
        <w:tc>
          <w:tcPr>
            <w:tcW w:w="1728" w:type="dxa"/>
            <w:vAlign w:val="center"/>
          </w:tcPr>
          <w:p w14:paraId="446369C9" w14:textId="77777777" w:rsidR="00A104CE" w:rsidRPr="003A4D6C" w:rsidRDefault="00A104CE" w:rsidP="00B84237">
            <w:pPr>
              <w:jc w:val="center"/>
              <w:rPr>
                <w:sz w:val="21"/>
                <w:szCs w:val="21"/>
              </w:rPr>
            </w:pPr>
            <w:r w:rsidRPr="00E84D59">
              <w:rPr>
                <w:b/>
                <w:sz w:val="21"/>
                <w:szCs w:val="21"/>
              </w:rPr>
              <w:t>.44</w:t>
            </w:r>
            <w:r>
              <w:rPr>
                <w:b/>
                <w:sz w:val="21"/>
                <w:szCs w:val="21"/>
              </w:rPr>
              <w:t xml:space="preserve"> </w:t>
            </w:r>
            <w:r>
              <w:rPr>
                <w:sz w:val="21"/>
                <w:szCs w:val="21"/>
              </w:rPr>
              <w:t>(.04)</w:t>
            </w:r>
          </w:p>
        </w:tc>
        <w:tc>
          <w:tcPr>
            <w:tcW w:w="1728" w:type="dxa"/>
            <w:vAlign w:val="center"/>
          </w:tcPr>
          <w:p w14:paraId="34DE27AD" w14:textId="77777777" w:rsidR="00A104CE" w:rsidRPr="00942005" w:rsidRDefault="00A104CE" w:rsidP="00B84237">
            <w:pPr>
              <w:jc w:val="center"/>
              <w:rPr>
                <w:sz w:val="21"/>
                <w:szCs w:val="21"/>
              </w:rPr>
            </w:pPr>
            <w:r w:rsidRPr="00693428">
              <w:rPr>
                <w:b/>
                <w:sz w:val="21"/>
                <w:szCs w:val="21"/>
              </w:rPr>
              <w:t>.40</w:t>
            </w:r>
            <w:r>
              <w:rPr>
                <w:b/>
                <w:sz w:val="21"/>
                <w:szCs w:val="21"/>
              </w:rPr>
              <w:t xml:space="preserve"> </w:t>
            </w:r>
            <w:r>
              <w:rPr>
                <w:sz w:val="21"/>
                <w:szCs w:val="21"/>
              </w:rPr>
              <w:t>(.05)</w:t>
            </w:r>
          </w:p>
        </w:tc>
        <w:tc>
          <w:tcPr>
            <w:tcW w:w="1728" w:type="dxa"/>
            <w:gridSpan w:val="2"/>
            <w:vAlign w:val="center"/>
          </w:tcPr>
          <w:p w14:paraId="49A4E1A7" w14:textId="77777777" w:rsidR="00A104CE" w:rsidRPr="00942005" w:rsidRDefault="00A104CE" w:rsidP="00B84237">
            <w:pPr>
              <w:jc w:val="center"/>
              <w:rPr>
                <w:sz w:val="21"/>
                <w:szCs w:val="21"/>
                <w:highlight w:val="yellow"/>
              </w:rPr>
            </w:pPr>
            <w:r w:rsidRPr="00E84D59">
              <w:rPr>
                <w:b/>
                <w:sz w:val="21"/>
                <w:szCs w:val="21"/>
              </w:rPr>
              <w:t>.44</w:t>
            </w:r>
            <w:r>
              <w:rPr>
                <w:b/>
                <w:sz w:val="21"/>
                <w:szCs w:val="21"/>
              </w:rPr>
              <w:t xml:space="preserve"> </w:t>
            </w:r>
            <w:r>
              <w:rPr>
                <w:sz w:val="21"/>
                <w:szCs w:val="21"/>
              </w:rPr>
              <w:t>(.05)</w:t>
            </w:r>
          </w:p>
        </w:tc>
      </w:tr>
      <w:tr w:rsidR="00A104CE" w:rsidRPr="00E84D59" w14:paraId="5263BFBB" w14:textId="77777777" w:rsidTr="00B84237">
        <w:trPr>
          <w:gridAfter w:val="1"/>
          <w:wAfter w:w="192" w:type="dxa"/>
          <w:trHeight w:val="308"/>
        </w:trPr>
        <w:tc>
          <w:tcPr>
            <w:tcW w:w="2819" w:type="dxa"/>
            <w:vAlign w:val="center"/>
          </w:tcPr>
          <w:p w14:paraId="0238BB77" w14:textId="77777777" w:rsidR="00A104CE" w:rsidRPr="00E84D59" w:rsidRDefault="00A104CE" w:rsidP="00B84237">
            <w:pPr>
              <w:rPr>
                <w:sz w:val="21"/>
                <w:szCs w:val="21"/>
              </w:rPr>
            </w:pPr>
            <w:r w:rsidRPr="00E84D59">
              <w:rPr>
                <w:sz w:val="21"/>
                <w:szCs w:val="21"/>
              </w:rPr>
              <w:t>NPI Entitle./Exploit.</w:t>
            </w:r>
          </w:p>
        </w:tc>
        <w:tc>
          <w:tcPr>
            <w:tcW w:w="1728" w:type="dxa"/>
            <w:vAlign w:val="center"/>
          </w:tcPr>
          <w:p w14:paraId="557C68A5" w14:textId="77777777" w:rsidR="00A104CE" w:rsidRPr="003A4D6C" w:rsidRDefault="00A104CE" w:rsidP="00B84237">
            <w:pPr>
              <w:jc w:val="center"/>
              <w:rPr>
                <w:sz w:val="21"/>
                <w:szCs w:val="21"/>
              </w:rPr>
            </w:pPr>
            <w:r w:rsidRPr="00E84D59">
              <w:rPr>
                <w:b/>
                <w:sz w:val="21"/>
                <w:szCs w:val="21"/>
              </w:rPr>
              <w:t>.50</w:t>
            </w:r>
            <w:r>
              <w:rPr>
                <w:b/>
                <w:sz w:val="21"/>
                <w:szCs w:val="21"/>
              </w:rPr>
              <w:t xml:space="preserve"> </w:t>
            </w:r>
            <w:r>
              <w:rPr>
                <w:sz w:val="21"/>
                <w:szCs w:val="21"/>
              </w:rPr>
              <w:t>(.04)</w:t>
            </w:r>
          </w:p>
        </w:tc>
        <w:tc>
          <w:tcPr>
            <w:tcW w:w="1728" w:type="dxa"/>
            <w:vAlign w:val="center"/>
          </w:tcPr>
          <w:p w14:paraId="20C7666D" w14:textId="77777777" w:rsidR="00A104CE" w:rsidRPr="003A4D6C" w:rsidRDefault="00A104CE" w:rsidP="00B84237">
            <w:pPr>
              <w:jc w:val="center"/>
              <w:rPr>
                <w:sz w:val="21"/>
                <w:szCs w:val="21"/>
              </w:rPr>
            </w:pPr>
            <w:r w:rsidRPr="00E84D59">
              <w:rPr>
                <w:b/>
                <w:sz w:val="21"/>
                <w:szCs w:val="21"/>
              </w:rPr>
              <w:t>.54</w:t>
            </w:r>
            <w:r>
              <w:rPr>
                <w:b/>
                <w:sz w:val="21"/>
                <w:szCs w:val="21"/>
              </w:rPr>
              <w:t xml:space="preserve"> </w:t>
            </w:r>
            <w:r>
              <w:rPr>
                <w:sz w:val="21"/>
                <w:szCs w:val="21"/>
              </w:rPr>
              <w:t>(.03)</w:t>
            </w:r>
          </w:p>
        </w:tc>
        <w:tc>
          <w:tcPr>
            <w:tcW w:w="1728" w:type="dxa"/>
            <w:shd w:val="clear" w:color="auto" w:fill="auto"/>
            <w:vAlign w:val="center"/>
          </w:tcPr>
          <w:p w14:paraId="1CB11DF8" w14:textId="77777777" w:rsidR="00A104CE" w:rsidRPr="00942005" w:rsidRDefault="00A104CE" w:rsidP="00B84237">
            <w:pPr>
              <w:jc w:val="center"/>
              <w:rPr>
                <w:sz w:val="21"/>
                <w:szCs w:val="21"/>
              </w:rPr>
            </w:pPr>
            <w:r w:rsidRPr="00693428">
              <w:rPr>
                <w:b/>
                <w:sz w:val="21"/>
                <w:szCs w:val="21"/>
              </w:rPr>
              <w:t>.41</w:t>
            </w:r>
            <w:r>
              <w:rPr>
                <w:b/>
                <w:sz w:val="21"/>
                <w:szCs w:val="21"/>
              </w:rPr>
              <w:t xml:space="preserve"> </w:t>
            </w:r>
            <w:r>
              <w:rPr>
                <w:sz w:val="21"/>
                <w:szCs w:val="21"/>
              </w:rPr>
              <w:t>(.04)</w:t>
            </w:r>
          </w:p>
        </w:tc>
        <w:tc>
          <w:tcPr>
            <w:tcW w:w="1728" w:type="dxa"/>
            <w:gridSpan w:val="2"/>
            <w:vAlign w:val="center"/>
          </w:tcPr>
          <w:p w14:paraId="51D779AD" w14:textId="77777777" w:rsidR="00A104CE" w:rsidRPr="00942005" w:rsidRDefault="00A104CE" w:rsidP="00B84237">
            <w:pPr>
              <w:jc w:val="center"/>
              <w:rPr>
                <w:sz w:val="21"/>
                <w:szCs w:val="21"/>
                <w:highlight w:val="yellow"/>
              </w:rPr>
            </w:pPr>
            <w:r>
              <w:rPr>
                <w:b/>
                <w:sz w:val="21"/>
                <w:szCs w:val="21"/>
              </w:rPr>
              <w:t xml:space="preserve">.40 </w:t>
            </w:r>
            <w:r>
              <w:rPr>
                <w:sz w:val="21"/>
                <w:szCs w:val="21"/>
              </w:rPr>
              <w:t>(.05)</w:t>
            </w:r>
          </w:p>
        </w:tc>
      </w:tr>
      <w:tr w:rsidR="00A104CE" w:rsidRPr="00E84D59" w14:paraId="78DFF03C" w14:textId="77777777" w:rsidTr="00B84237">
        <w:trPr>
          <w:gridAfter w:val="1"/>
          <w:wAfter w:w="192" w:type="dxa"/>
          <w:trHeight w:val="308"/>
        </w:trPr>
        <w:tc>
          <w:tcPr>
            <w:tcW w:w="2819" w:type="dxa"/>
            <w:vAlign w:val="center"/>
          </w:tcPr>
          <w:p w14:paraId="57BF59A0" w14:textId="77777777" w:rsidR="00A104CE" w:rsidRPr="00E84D59" w:rsidRDefault="00A104CE" w:rsidP="00B84237">
            <w:pPr>
              <w:rPr>
                <w:sz w:val="21"/>
                <w:szCs w:val="21"/>
              </w:rPr>
            </w:pPr>
            <w:r w:rsidRPr="00E84D59">
              <w:rPr>
                <w:sz w:val="21"/>
                <w:szCs w:val="21"/>
              </w:rPr>
              <w:t>Psychological Entitlement</w:t>
            </w:r>
          </w:p>
        </w:tc>
        <w:tc>
          <w:tcPr>
            <w:tcW w:w="1728" w:type="dxa"/>
            <w:vAlign w:val="center"/>
          </w:tcPr>
          <w:p w14:paraId="62DE3028" w14:textId="77777777" w:rsidR="00A104CE" w:rsidRPr="003A4D6C" w:rsidRDefault="00A104CE" w:rsidP="00B84237">
            <w:pPr>
              <w:jc w:val="center"/>
              <w:rPr>
                <w:sz w:val="21"/>
                <w:szCs w:val="21"/>
              </w:rPr>
            </w:pPr>
            <w:r w:rsidRPr="000B2335">
              <w:rPr>
                <w:b/>
                <w:sz w:val="21"/>
                <w:szCs w:val="21"/>
              </w:rPr>
              <w:t>.73</w:t>
            </w:r>
            <w:r>
              <w:rPr>
                <w:b/>
                <w:sz w:val="21"/>
                <w:szCs w:val="21"/>
              </w:rPr>
              <w:t xml:space="preserve"> </w:t>
            </w:r>
            <w:r>
              <w:rPr>
                <w:sz w:val="21"/>
                <w:szCs w:val="21"/>
              </w:rPr>
              <w:t>(.03)</w:t>
            </w:r>
          </w:p>
        </w:tc>
        <w:tc>
          <w:tcPr>
            <w:tcW w:w="1728" w:type="dxa"/>
            <w:vAlign w:val="center"/>
          </w:tcPr>
          <w:p w14:paraId="00EA50FE" w14:textId="77777777" w:rsidR="00A104CE" w:rsidRPr="003A4D6C" w:rsidRDefault="00A104CE" w:rsidP="00B84237">
            <w:pPr>
              <w:jc w:val="center"/>
              <w:rPr>
                <w:i/>
                <w:sz w:val="21"/>
                <w:szCs w:val="21"/>
              </w:rPr>
            </w:pPr>
            <w:r>
              <w:rPr>
                <w:b/>
                <w:sz w:val="21"/>
                <w:szCs w:val="21"/>
              </w:rPr>
              <w:t xml:space="preserve">.68 </w:t>
            </w:r>
            <w:r>
              <w:rPr>
                <w:sz w:val="21"/>
                <w:szCs w:val="21"/>
              </w:rPr>
              <w:t>(.03)</w:t>
            </w:r>
          </w:p>
        </w:tc>
        <w:tc>
          <w:tcPr>
            <w:tcW w:w="1728" w:type="dxa"/>
            <w:vAlign w:val="center"/>
          </w:tcPr>
          <w:p w14:paraId="3831C750" w14:textId="77777777" w:rsidR="00A104CE" w:rsidRPr="00FC1C54" w:rsidRDefault="00A104CE" w:rsidP="00B84237">
            <w:pPr>
              <w:jc w:val="center"/>
              <w:rPr>
                <w:sz w:val="21"/>
                <w:szCs w:val="21"/>
              </w:rPr>
            </w:pPr>
            <w:r w:rsidRPr="006274A2">
              <w:rPr>
                <w:b/>
                <w:sz w:val="21"/>
                <w:szCs w:val="21"/>
              </w:rPr>
              <w:t>.49</w:t>
            </w:r>
            <w:r>
              <w:rPr>
                <w:b/>
                <w:sz w:val="21"/>
                <w:szCs w:val="21"/>
              </w:rPr>
              <w:t xml:space="preserve"> </w:t>
            </w:r>
            <w:r>
              <w:rPr>
                <w:sz w:val="21"/>
                <w:szCs w:val="21"/>
              </w:rPr>
              <w:t>(.04)</w:t>
            </w:r>
          </w:p>
        </w:tc>
        <w:tc>
          <w:tcPr>
            <w:tcW w:w="1728" w:type="dxa"/>
            <w:gridSpan w:val="2"/>
            <w:vAlign w:val="center"/>
          </w:tcPr>
          <w:p w14:paraId="68B813E4" w14:textId="77777777" w:rsidR="00A104CE" w:rsidRPr="00FC1C54" w:rsidRDefault="00A104CE" w:rsidP="00B84237">
            <w:pPr>
              <w:jc w:val="center"/>
              <w:rPr>
                <w:i/>
                <w:sz w:val="21"/>
                <w:szCs w:val="21"/>
              </w:rPr>
            </w:pPr>
            <w:r w:rsidRPr="00E84D59">
              <w:rPr>
                <w:b/>
                <w:sz w:val="21"/>
                <w:szCs w:val="21"/>
              </w:rPr>
              <w:t>.36</w:t>
            </w:r>
            <w:r>
              <w:rPr>
                <w:b/>
                <w:sz w:val="21"/>
                <w:szCs w:val="21"/>
              </w:rPr>
              <w:t xml:space="preserve"> </w:t>
            </w:r>
            <w:r>
              <w:rPr>
                <w:sz w:val="21"/>
                <w:szCs w:val="21"/>
              </w:rPr>
              <w:t>(.05)</w:t>
            </w:r>
          </w:p>
        </w:tc>
      </w:tr>
      <w:tr w:rsidR="00A104CE" w:rsidRPr="00E84D59" w14:paraId="794ED8D8" w14:textId="77777777" w:rsidTr="00B84237">
        <w:trPr>
          <w:gridAfter w:val="1"/>
          <w:wAfter w:w="192" w:type="dxa"/>
          <w:trHeight w:val="308"/>
        </w:trPr>
        <w:tc>
          <w:tcPr>
            <w:tcW w:w="2819" w:type="dxa"/>
            <w:vAlign w:val="center"/>
          </w:tcPr>
          <w:p w14:paraId="421028E7" w14:textId="77777777" w:rsidR="00A104CE" w:rsidRPr="00E84D59" w:rsidRDefault="00A104CE" w:rsidP="00B84237">
            <w:pPr>
              <w:rPr>
                <w:sz w:val="21"/>
                <w:szCs w:val="21"/>
              </w:rPr>
            </w:pPr>
            <w:r w:rsidRPr="00E84D59">
              <w:rPr>
                <w:sz w:val="21"/>
                <w:szCs w:val="21"/>
              </w:rPr>
              <w:t>PID-5 Detachment</w:t>
            </w:r>
          </w:p>
        </w:tc>
        <w:tc>
          <w:tcPr>
            <w:tcW w:w="1728" w:type="dxa"/>
            <w:vAlign w:val="center"/>
          </w:tcPr>
          <w:p w14:paraId="00FE108C" w14:textId="77777777" w:rsidR="00A104CE" w:rsidRPr="003A4D6C" w:rsidRDefault="00A104CE" w:rsidP="00B84237">
            <w:pPr>
              <w:jc w:val="center"/>
              <w:rPr>
                <w:sz w:val="21"/>
                <w:szCs w:val="21"/>
              </w:rPr>
            </w:pPr>
            <w:r>
              <w:rPr>
                <w:b/>
                <w:sz w:val="21"/>
                <w:szCs w:val="21"/>
              </w:rPr>
              <w:t xml:space="preserve">.44 </w:t>
            </w:r>
            <w:r>
              <w:rPr>
                <w:sz w:val="21"/>
                <w:szCs w:val="21"/>
              </w:rPr>
              <w:t>(.04)</w:t>
            </w:r>
          </w:p>
        </w:tc>
        <w:tc>
          <w:tcPr>
            <w:tcW w:w="1728" w:type="dxa"/>
            <w:vAlign w:val="center"/>
          </w:tcPr>
          <w:p w14:paraId="2DCD6A2E" w14:textId="77777777" w:rsidR="00A104CE" w:rsidRPr="003A4D6C" w:rsidRDefault="00A104CE" w:rsidP="00B84237">
            <w:pPr>
              <w:jc w:val="center"/>
              <w:rPr>
                <w:sz w:val="21"/>
                <w:szCs w:val="21"/>
              </w:rPr>
            </w:pPr>
            <w:r>
              <w:rPr>
                <w:b/>
                <w:sz w:val="21"/>
                <w:szCs w:val="21"/>
              </w:rPr>
              <w:t xml:space="preserve">.47 </w:t>
            </w:r>
            <w:r>
              <w:rPr>
                <w:sz w:val="21"/>
                <w:szCs w:val="21"/>
              </w:rPr>
              <w:t>(.04)</w:t>
            </w:r>
          </w:p>
        </w:tc>
        <w:tc>
          <w:tcPr>
            <w:tcW w:w="1728" w:type="dxa"/>
            <w:vAlign w:val="center"/>
          </w:tcPr>
          <w:p w14:paraId="3C6F3DB4" w14:textId="77777777" w:rsidR="00A104CE" w:rsidRPr="00FC1C54" w:rsidRDefault="00A104CE" w:rsidP="00B84237">
            <w:pPr>
              <w:jc w:val="center"/>
              <w:rPr>
                <w:sz w:val="21"/>
                <w:szCs w:val="21"/>
              </w:rPr>
            </w:pPr>
            <w:r>
              <w:rPr>
                <w:b/>
                <w:sz w:val="21"/>
                <w:szCs w:val="21"/>
              </w:rPr>
              <w:t xml:space="preserve">.19 </w:t>
            </w:r>
            <w:r>
              <w:rPr>
                <w:sz w:val="21"/>
                <w:szCs w:val="21"/>
              </w:rPr>
              <w:t>(.05)</w:t>
            </w:r>
          </w:p>
        </w:tc>
        <w:tc>
          <w:tcPr>
            <w:tcW w:w="1728" w:type="dxa"/>
            <w:gridSpan w:val="2"/>
            <w:vAlign w:val="center"/>
          </w:tcPr>
          <w:p w14:paraId="129F0350" w14:textId="77777777" w:rsidR="00A104CE" w:rsidRPr="00FC1C54" w:rsidRDefault="00A104CE" w:rsidP="00B84237">
            <w:pPr>
              <w:jc w:val="center"/>
              <w:rPr>
                <w:sz w:val="21"/>
                <w:szCs w:val="21"/>
              </w:rPr>
            </w:pPr>
            <w:r w:rsidRPr="00E84D59">
              <w:rPr>
                <w:b/>
                <w:sz w:val="21"/>
                <w:szCs w:val="21"/>
              </w:rPr>
              <w:t>.31</w:t>
            </w:r>
            <w:r>
              <w:rPr>
                <w:b/>
                <w:sz w:val="21"/>
                <w:szCs w:val="21"/>
              </w:rPr>
              <w:t xml:space="preserve"> </w:t>
            </w:r>
            <w:r>
              <w:rPr>
                <w:sz w:val="21"/>
                <w:szCs w:val="21"/>
              </w:rPr>
              <w:t>(.05)</w:t>
            </w:r>
          </w:p>
        </w:tc>
      </w:tr>
      <w:tr w:rsidR="00A104CE" w:rsidRPr="00E84D59" w14:paraId="3FB0DFEC" w14:textId="77777777" w:rsidTr="00B84237">
        <w:trPr>
          <w:gridAfter w:val="1"/>
          <w:wAfter w:w="192" w:type="dxa"/>
          <w:trHeight w:val="308"/>
        </w:trPr>
        <w:tc>
          <w:tcPr>
            <w:tcW w:w="2819" w:type="dxa"/>
            <w:vAlign w:val="center"/>
          </w:tcPr>
          <w:p w14:paraId="60E1CCEE" w14:textId="77777777" w:rsidR="00A104CE" w:rsidRPr="00E84D59" w:rsidRDefault="00A104CE" w:rsidP="00B84237">
            <w:pPr>
              <w:rPr>
                <w:sz w:val="21"/>
                <w:szCs w:val="21"/>
              </w:rPr>
            </w:pPr>
            <w:r w:rsidRPr="00E84D59">
              <w:rPr>
                <w:sz w:val="21"/>
                <w:szCs w:val="21"/>
              </w:rPr>
              <w:t>PID-5 Psychoticism</w:t>
            </w:r>
          </w:p>
        </w:tc>
        <w:tc>
          <w:tcPr>
            <w:tcW w:w="1728" w:type="dxa"/>
            <w:vAlign w:val="center"/>
          </w:tcPr>
          <w:p w14:paraId="517FA70B" w14:textId="77777777" w:rsidR="00A104CE" w:rsidRPr="003A4D6C" w:rsidRDefault="00A104CE" w:rsidP="00B84237">
            <w:pPr>
              <w:jc w:val="center"/>
              <w:rPr>
                <w:sz w:val="21"/>
                <w:szCs w:val="21"/>
              </w:rPr>
            </w:pPr>
            <w:r>
              <w:rPr>
                <w:b/>
                <w:sz w:val="21"/>
                <w:szCs w:val="21"/>
              </w:rPr>
              <w:t xml:space="preserve">.54 </w:t>
            </w:r>
            <w:r>
              <w:rPr>
                <w:sz w:val="21"/>
                <w:szCs w:val="21"/>
              </w:rPr>
              <w:t>(.04)</w:t>
            </w:r>
          </w:p>
        </w:tc>
        <w:tc>
          <w:tcPr>
            <w:tcW w:w="1728" w:type="dxa"/>
            <w:vAlign w:val="center"/>
          </w:tcPr>
          <w:p w14:paraId="29383002" w14:textId="77777777" w:rsidR="00A104CE" w:rsidRPr="003A4D6C" w:rsidRDefault="00A104CE" w:rsidP="00B84237">
            <w:pPr>
              <w:jc w:val="center"/>
              <w:rPr>
                <w:sz w:val="21"/>
                <w:szCs w:val="21"/>
              </w:rPr>
            </w:pPr>
            <w:r w:rsidRPr="00E84D59">
              <w:rPr>
                <w:b/>
                <w:sz w:val="21"/>
                <w:szCs w:val="21"/>
              </w:rPr>
              <w:t>.61</w:t>
            </w:r>
            <w:r>
              <w:rPr>
                <w:b/>
                <w:sz w:val="21"/>
                <w:szCs w:val="21"/>
              </w:rPr>
              <w:t xml:space="preserve"> </w:t>
            </w:r>
            <w:r>
              <w:rPr>
                <w:sz w:val="21"/>
                <w:szCs w:val="21"/>
              </w:rPr>
              <w:t xml:space="preserve">(.04) </w:t>
            </w:r>
          </w:p>
        </w:tc>
        <w:tc>
          <w:tcPr>
            <w:tcW w:w="1728" w:type="dxa"/>
            <w:vAlign w:val="center"/>
          </w:tcPr>
          <w:p w14:paraId="6B967C7D" w14:textId="77777777" w:rsidR="00A104CE" w:rsidRPr="00FC1C54" w:rsidRDefault="00A104CE" w:rsidP="00B84237">
            <w:pPr>
              <w:jc w:val="center"/>
              <w:rPr>
                <w:sz w:val="21"/>
                <w:szCs w:val="21"/>
              </w:rPr>
            </w:pPr>
            <w:r>
              <w:rPr>
                <w:b/>
                <w:sz w:val="21"/>
                <w:szCs w:val="21"/>
              </w:rPr>
              <w:t xml:space="preserve">.40 </w:t>
            </w:r>
            <w:r>
              <w:rPr>
                <w:sz w:val="21"/>
                <w:szCs w:val="21"/>
              </w:rPr>
              <w:t>(.05)</w:t>
            </w:r>
          </w:p>
        </w:tc>
        <w:tc>
          <w:tcPr>
            <w:tcW w:w="1728" w:type="dxa"/>
            <w:gridSpan w:val="2"/>
            <w:vAlign w:val="center"/>
          </w:tcPr>
          <w:p w14:paraId="0732B75B" w14:textId="77777777" w:rsidR="00A104CE" w:rsidRPr="00FC1C54" w:rsidRDefault="00A104CE" w:rsidP="00B84237">
            <w:pPr>
              <w:jc w:val="center"/>
              <w:rPr>
                <w:sz w:val="21"/>
                <w:szCs w:val="21"/>
              </w:rPr>
            </w:pPr>
            <w:r w:rsidRPr="00E84D59">
              <w:rPr>
                <w:b/>
                <w:sz w:val="21"/>
                <w:szCs w:val="21"/>
              </w:rPr>
              <w:t>.49</w:t>
            </w:r>
            <w:r>
              <w:rPr>
                <w:b/>
                <w:sz w:val="21"/>
                <w:szCs w:val="21"/>
              </w:rPr>
              <w:t xml:space="preserve"> </w:t>
            </w:r>
            <w:r>
              <w:rPr>
                <w:sz w:val="21"/>
                <w:szCs w:val="21"/>
              </w:rPr>
              <w:t>(.04)</w:t>
            </w:r>
          </w:p>
        </w:tc>
      </w:tr>
      <w:tr w:rsidR="00A104CE" w:rsidRPr="00E84D59" w14:paraId="69603C7B" w14:textId="77777777" w:rsidTr="00B84237">
        <w:trPr>
          <w:gridAfter w:val="1"/>
          <w:wAfter w:w="192" w:type="dxa"/>
          <w:trHeight w:val="308"/>
        </w:trPr>
        <w:tc>
          <w:tcPr>
            <w:tcW w:w="2819" w:type="dxa"/>
            <w:vAlign w:val="center"/>
          </w:tcPr>
          <w:p w14:paraId="7F8B2D9B" w14:textId="77777777" w:rsidR="00A104CE" w:rsidRPr="00E84D59" w:rsidRDefault="00A104CE" w:rsidP="00B84237">
            <w:pPr>
              <w:rPr>
                <w:sz w:val="21"/>
                <w:szCs w:val="21"/>
              </w:rPr>
            </w:pPr>
            <w:r w:rsidRPr="00E84D59">
              <w:rPr>
                <w:sz w:val="21"/>
                <w:szCs w:val="21"/>
              </w:rPr>
              <w:t>PID-5 Negative Affectivity</w:t>
            </w:r>
          </w:p>
        </w:tc>
        <w:tc>
          <w:tcPr>
            <w:tcW w:w="1728" w:type="dxa"/>
            <w:vAlign w:val="center"/>
          </w:tcPr>
          <w:p w14:paraId="1961A173" w14:textId="77777777" w:rsidR="00A104CE" w:rsidRPr="003A4D6C" w:rsidRDefault="00A104CE" w:rsidP="00B84237">
            <w:pPr>
              <w:jc w:val="center"/>
              <w:rPr>
                <w:sz w:val="21"/>
                <w:szCs w:val="21"/>
              </w:rPr>
            </w:pPr>
            <w:r>
              <w:rPr>
                <w:b/>
                <w:sz w:val="21"/>
                <w:szCs w:val="21"/>
              </w:rPr>
              <w:t xml:space="preserve">.29 </w:t>
            </w:r>
            <w:r>
              <w:rPr>
                <w:sz w:val="21"/>
                <w:szCs w:val="21"/>
              </w:rPr>
              <w:t xml:space="preserve">(.04) </w:t>
            </w:r>
          </w:p>
        </w:tc>
        <w:tc>
          <w:tcPr>
            <w:tcW w:w="1728" w:type="dxa"/>
            <w:vAlign w:val="center"/>
          </w:tcPr>
          <w:p w14:paraId="517B8248" w14:textId="77777777" w:rsidR="00A104CE" w:rsidRPr="003A4D6C" w:rsidRDefault="00A104CE" w:rsidP="00B84237">
            <w:pPr>
              <w:jc w:val="center"/>
              <w:rPr>
                <w:sz w:val="21"/>
                <w:szCs w:val="21"/>
              </w:rPr>
            </w:pPr>
            <w:r>
              <w:rPr>
                <w:b/>
                <w:sz w:val="21"/>
                <w:szCs w:val="21"/>
              </w:rPr>
              <w:t xml:space="preserve">.42 </w:t>
            </w:r>
            <w:r>
              <w:rPr>
                <w:sz w:val="21"/>
                <w:szCs w:val="21"/>
              </w:rPr>
              <w:t xml:space="preserve">(.04) </w:t>
            </w:r>
          </w:p>
        </w:tc>
        <w:tc>
          <w:tcPr>
            <w:tcW w:w="1728" w:type="dxa"/>
            <w:vAlign w:val="center"/>
          </w:tcPr>
          <w:p w14:paraId="0A41E544" w14:textId="77777777" w:rsidR="00A104CE" w:rsidRPr="00FC1C54" w:rsidRDefault="00A104CE" w:rsidP="00B84237">
            <w:pPr>
              <w:jc w:val="center"/>
              <w:rPr>
                <w:sz w:val="21"/>
                <w:szCs w:val="21"/>
              </w:rPr>
            </w:pPr>
            <w:r>
              <w:rPr>
                <w:b/>
                <w:sz w:val="21"/>
                <w:szCs w:val="21"/>
              </w:rPr>
              <w:t xml:space="preserve">.15 </w:t>
            </w:r>
            <w:r>
              <w:rPr>
                <w:sz w:val="21"/>
                <w:szCs w:val="21"/>
              </w:rPr>
              <w:t>(.05)</w:t>
            </w:r>
          </w:p>
        </w:tc>
        <w:tc>
          <w:tcPr>
            <w:tcW w:w="1728" w:type="dxa"/>
            <w:gridSpan w:val="2"/>
            <w:vAlign w:val="center"/>
          </w:tcPr>
          <w:p w14:paraId="1D0524C4" w14:textId="77777777" w:rsidR="00A104CE" w:rsidRPr="00FC1C54" w:rsidRDefault="00A104CE" w:rsidP="00B84237">
            <w:pPr>
              <w:jc w:val="center"/>
              <w:rPr>
                <w:sz w:val="21"/>
                <w:szCs w:val="21"/>
              </w:rPr>
            </w:pPr>
            <w:r w:rsidRPr="00E84D59">
              <w:rPr>
                <w:b/>
                <w:sz w:val="21"/>
                <w:szCs w:val="21"/>
              </w:rPr>
              <w:t>.26</w:t>
            </w:r>
            <w:r>
              <w:rPr>
                <w:b/>
                <w:sz w:val="21"/>
                <w:szCs w:val="21"/>
              </w:rPr>
              <w:t xml:space="preserve"> </w:t>
            </w:r>
            <w:r>
              <w:rPr>
                <w:sz w:val="21"/>
                <w:szCs w:val="21"/>
              </w:rPr>
              <w:t>(.05)</w:t>
            </w:r>
          </w:p>
        </w:tc>
      </w:tr>
      <w:tr w:rsidR="00A104CE" w:rsidRPr="00E84D59" w14:paraId="3EA09C2F" w14:textId="77777777" w:rsidTr="00B84237">
        <w:trPr>
          <w:gridAfter w:val="1"/>
          <w:wAfter w:w="192" w:type="dxa"/>
          <w:trHeight w:val="308"/>
        </w:trPr>
        <w:tc>
          <w:tcPr>
            <w:tcW w:w="2819" w:type="dxa"/>
            <w:vAlign w:val="center"/>
          </w:tcPr>
          <w:p w14:paraId="2BFD2D40" w14:textId="77777777" w:rsidR="00A104CE" w:rsidRPr="00E84D59" w:rsidRDefault="00A104CE" w:rsidP="00B84237">
            <w:pPr>
              <w:rPr>
                <w:sz w:val="21"/>
                <w:szCs w:val="21"/>
              </w:rPr>
            </w:pPr>
            <w:r w:rsidRPr="00E84D59">
              <w:rPr>
                <w:sz w:val="21"/>
                <w:szCs w:val="21"/>
              </w:rPr>
              <w:t>PID-5 Antagonism</w:t>
            </w:r>
          </w:p>
        </w:tc>
        <w:tc>
          <w:tcPr>
            <w:tcW w:w="1728" w:type="dxa"/>
            <w:vAlign w:val="center"/>
          </w:tcPr>
          <w:p w14:paraId="2ABDBFAD" w14:textId="77777777" w:rsidR="00A104CE" w:rsidRPr="003A4D6C" w:rsidRDefault="00A104CE" w:rsidP="00B84237">
            <w:pPr>
              <w:jc w:val="center"/>
              <w:rPr>
                <w:sz w:val="21"/>
                <w:szCs w:val="21"/>
              </w:rPr>
            </w:pPr>
            <w:r>
              <w:rPr>
                <w:b/>
                <w:sz w:val="21"/>
                <w:szCs w:val="21"/>
              </w:rPr>
              <w:t xml:space="preserve">.64 </w:t>
            </w:r>
            <w:r>
              <w:rPr>
                <w:sz w:val="21"/>
                <w:szCs w:val="21"/>
              </w:rPr>
              <w:t>(.04)</w:t>
            </w:r>
          </w:p>
        </w:tc>
        <w:tc>
          <w:tcPr>
            <w:tcW w:w="1728" w:type="dxa"/>
            <w:vAlign w:val="center"/>
          </w:tcPr>
          <w:p w14:paraId="4C6F1801" w14:textId="77777777" w:rsidR="00A104CE" w:rsidRPr="003A4D6C" w:rsidRDefault="00A104CE" w:rsidP="00B84237">
            <w:pPr>
              <w:jc w:val="center"/>
              <w:rPr>
                <w:sz w:val="21"/>
                <w:szCs w:val="21"/>
              </w:rPr>
            </w:pPr>
            <w:r w:rsidRPr="00E84D59">
              <w:rPr>
                <w:b/>
                <w:sz w:val="21"/>
                <w:szCs w:val="21"/>
              </w:rPr>
              <w:t>.67</w:t>
            </w:r>
            <w:r>
              <w:rPr>
                <w:b/>
                <w:sz w:val="21"/>
                <w:szCs w:val="21"/>
              </w:rPr>
              <w:t xml:space="preserve"> </w:t>
            </w:r>
            <w:r>
              <w:rPr>
                <w:sz w:val="21"/>
                <w:szCs w:val="21"/>
              </w:rPr>
              <w:t>(.03)</w:t>
            </w:r>
          </w:p>
        </w:tc>
        <w:tc>
          <w:tcPr>
            <w:tcW w:w="1728" w:type="dxa"/>
            <w:vAlign w:val="center"/>
          </w:tcPr>
          <w:p w14:paraId="5CF8B521" w14:textId="77777777" w:rsidR="00A104CE" w:rsidRPr="00FC1C54" w:rsidRDefault="00A104CE" w:rsidP="00B84237">
            <w:pPr>
              <w:jc w:val="center"/>
              <w:rPr>
                <w:sz w:val="21"/>
                <w:szCs w:val="21"/>
              </w:rPr>
            </w:pPr>
            <w:r>
              <w:rPr>
                <w:b/>
                <w:sz w:val="21"/>
                <w:szCs w:val="21"/>
              </w:rPr>
              <w:t xml:space="preserve">.57 </w:t>
            </w:r>
            <w:r>
              <w:rPr>
                <w:sz w:val="21"/>
                <w:szCs w:val="21"/>
              </w:rPr>
              <w:t>(.04)</w:t>
            </w:r>
          </w:p>
        </w:tc>
        <w:tc>
          <w:tcPr>
            <w:tcW w:w="1728" w:type="dxa"/>
            <w:gridSpan w:val="2"/>
            <w:vAlign w:val="center"/>
          </w:tcPr>
          <w:p w14:paraId="4C4999DD" w14:textId="77777777" w:rsidR="00A104CE" w:rsidRPr="00FC1C54" w:rsidRDefault="00A104CE" w:rsidP="00B84237">
            <w:pPr>
              <w:jc w:val="center"/>
              <w:rPr>
                <w:sz w:val="21"/>
                <w:szCs w:val="21"/>
              </w:rPr>
            </w:pPr>
            <w:r w:rsidRPr="00E84D59">
              <w:rPr>
                <w:b/>
                <w:sz w:val="21"/>
                <w:szCs w:val="21"/>
              </w:rPr>
              <w:t>.62</w:t>
            </w:r>
            <w:r>
              <w:rPr>
                <w:b/>
                <w:sz w:val="21"/>
                <w:szCs w:val="21"/>
              </w:rPr>
              <w:t xml:space="preserve"> </w:t>
            </w:r>
            <w:r>
              <w:rPr>
                <w:sz w:val="21"/>
                <w:szCs w:val="21"/>
              </w:rPr>
              <w:t>(.03)</w:t>
            </w:r>
          </w:p>
        </w:tc>
      </w:tr>
      <w:tr w:rsidR="00A104CE" w:rsidRPr="00E84D59" w14:paraId="3115AF6B" w14:textId="77777777" w:rsidTr="00B84237">
        <w:trPr>
          <w:gridAfter w:val="1"/>
          <w:wAfter w:w="192" w:type="dxa"/>
          <w:trHeight w:val="308"/>
        </w:trPr>
        <w:tc>
          <w:tcPr>
            <w:tcW w:w="2819" w:type="dxa"/>
            <w:vAlign w:val="center"/>
          </w:tcPr>
          <w:p w14:paraId="32949C4E" w14:textId="77777777" w:rsidR="00A104CE" w:rsidRPr="00E84D59" w:rsidRDefault="00A104CE" w:rsidP="00B84237">
            <w:pPr>
              <w:rPr>
                <w:sz w:val="21"/>
                <w:szCs w:val="21"/>
              </w:rPr>
            </w:pPr>
            <w:r w:rsidRPr="00E84D59">
              <w:rPr>
                <w:sz w:val="21"/>
                <w:szCs w:val="21"/>
              </w:rPr>
              <w:t>PID-5 Disinhibition</w:t>
            </w:r>
          </w:p>
        </w:tc>
        <w:tc>
          <w:tcPr>
            <w:tcW w:w="1728" w:type="dxa"/>
            <w:vAlign w:val="center"/>
          </w:tcPr>
          <w:p w14:paraId="0A3D1F07" w14:textId="77777777" w:rsidR="00A104CE" w:rsidRPr="003A4D6C" w:rsidRDefault="00A104CE" w:rsidP="00B84237">
            <w:pPr>
              <w:jc w:val="center"/>
              <w:rPr>
                <w:sz w:val="21"/>
                <w:szCs w:val="21"/>
              </w:rPr>
            </w:pPr>
            <w:r>
              <w:rPr>
                <w:b/>
                <w:sz w:val="21"/>
                <w:szCs w:val="21"/>
              </w:rPr>
              <w:t xml:space="preserve">.61 </w:t>
            </w:r>
            <w:r>
              <w:rPr>
                <w:sz w:val="21"/>
                <w:szCs w:val="21"/>
              </w:rPr>
              <w:t>(.04)</w:t>
            </w:r>
          </w:p>
        </w:tc>
        <w:tc>
          <w:tcPr>
            <w:tcW w:w="1728" w:type="dxa"/>
            <w:vAlign w:val="center"/>
          </w:tcPr>
          <w:p w14:paraId="65DBF5FB" w14:textId="77777777" w:rsidR="00A104CE" w:rsidRPr="003A4D6C" w:rsidRDefault="00A104CE" w:rsidP="00B84237">
            <w:pPr>
              <w:jc w:val="center"/>
              <w:rPr>
                <w:sz w:val="21"/>
                <w:szCs w:val="21"/>
              </w:rPr>
            </w:pPr>
            <w:r>
              <w:rPr>
                <w:b/>
                <w:sz w:val="21"/>
                <w:szCs w:val="21"/>
              </w:rPr>
              <w:t xml:space="preserve">.66 </w:t>
            </w:r>
            <w:r>
              <w:rPr>
                <w:sz w:val="21"/>
                <w:szCs w:val="21"/>
              </w:rPr>
              <w:t>(.03)</w:t>
            </w:r>
          </w:p>
        </w:tc>
        <w:tc>
          <w:tcPr>
            <w:tcW w:w="1728" w:type="dxa"/>
            <w:vAlign w:val="center"/>
          </w:tcPr>
          <w:p w14:paraId="42787EFE" w14:textId="77777777" w:rsidR="00A104CE" w:rsidRPr="00FC1C54" w:rsidRDefault="00A104CE" w:rsidP="00B84237">
            <w:pPr>
              <w:jc w:val="center"/>
              <w:rPr>
                <w:sz w:val="21"/>
                <w:szCs w:val="21"/>
              </w:rPr>
            </w:pPr>
            <w:r w:rsidRPr="00693428">
              <w:rPr>
                <w:b/>
                <w:sz w:val="21"/>
                <w:szCs w:val="21"/>
              </w:rPr>
              <w:t>.49</w:t>
            </w:r>
            <w:r>
              <w:rPr>
                <w:b/>
                <w:sz w:val="21"/>
                <w:szCs w:val="21"/>
              </w:rPr>
              <w:t xml:space="preserve"> </w:t>
            </w:r>
            <w:r>
              <w:rPr>
                <w:sz w:val="21"/>
                <w:szCs w:val="21"/>
              </w:rPr>
              <w:t>(.04)</w:t>
            </w:r>
          </w:p>
        </w:tc>
        <w:tc>
          <w:tcPr>
            <w:tcW w:w="1728" w:type="dxa"/>
            <w:gridSpan w:val="2"/>
            <w:vAlign w:val="center"/>
          </w:tcPr>
          <w:p w14:paraId="23ACA3D4" w14:textId="77777777" w:rsidR="00A104CE" w:rsidRPr="00FC1C54" w:rsidRDefault="00A104CE" w:rsidP="00B84237">
            <w:pPr>
              <w:jc w:val="center"/>
              <w:rPr>
                <w:sz w:val="21"/>
                <w:szCs w:val="21"/>
                <w:highlight w:val="yellow"/>
              </w:rPr>
            </w:pPr>
            <w:r w:rsidRPr="00E84D59">
              <w:rPr>
                <w:b/>
                <w:sz w:val="21"/>
                <w:szCs w:val="21"/>
              </w:rPr>
              <w:t>.58</w:t>
            </w:r>
            <w:r>
              <w:rPr>
                <w:b/>
                <w:sz w:val="21"/>
                <w:szCs w:val="21"/>
              </w:rPr>
              <w:t xml:space="preserve"> </w:t>
            </w:r>
            <w:r>
              <w:rPr>
                <w:sz w:val="21"/>
                <w:szCs w:val="21"/>
              </w:rPr>
              <w:t>(.03)</w:t>
            </w:r>
          </w:p>
        </w:tc>
      </w:tr>
      <w:tr w:rsidR="00A104CE" w:rsidRPr="00E84D59" w14:paraId="5926F2E9" w14:textId="77777777" w:rsidTr="00B84237">
        <w:trPr>
          <w:trHeight w:val="628"/>
        </w:trPr>
        <w:tc>
          <w:tcPr>
            <w:tcW w:w="9923" w:type="dxa"/>
            <w:gridSpan w:val="7"/>
            <w:tcBorders>
              <w:top w:val="single" w:sz="4" w:space="0" w:color="auto"/>
            </w:tcBorders>
          </w:tcPr>
          <w:p w14:paraId="27F76694" w14:textId="77777777" w:rsidR="00A104CE" w:rsidRPr="00E84D59" w:rsidRDefault="00A104CE" w:rsidP="00B84237">
            <w:r w:rsidRPr="00E84D59">
              <w:rPr>
                <w:i/>
                <w:sz w:val="20"/>
                <w:szCs w:val="16"/>
              </w:rPr>
              <w:t xml:space="preserve">Note. </w:t>
            </w:r>
            <w:r w:rsidRPr="00E84D59">
              <w:rPr>
                <w:sz w:val="20"/>
                <w:szCs w:val="16"/>
              </w:rPr>
              <w:t xml:space="preserve">Coefficients are bolded if </w:t>
            </w:r>
            <w:r w:rsidRPr="00E84D59">
              <w:rPr>
                <w:iCs/>
                <w:sz w:val="20"/>
                <w:szCs w:val="16"/>
              </w:rPr>
              <w:t xml:space="preserve">p </w:t>
            </w:r>
            <w:r w:rsidRPr="00E84D59">
              <w:rPr>
                <w:sz w:val="20"/>
                <w:szCs w:val="16"/>
              </w:rPr>
              <w:t xml:space="preserve">&lt; .001 and italicized if </w:t>
            </w:r>
            <w:r w:rsidRPr="00E84D59">
              <w:rPr>
                <w:iCs/>
                <w:sz w:val="20"/>
                <w:szCs w:val="16"/>
              </w:rPr>
              <w:t xml:space="preserve">p </w:t>
            </w:r>
            <w:r w:rsidRPr="00E84D59">
              <w:rPr>
                <w:sz w:val="20"/>
                <w:szCs w:val="16"/>
              </w:rPr>
              <w:t xml:space="preserve">&lt; .01. </w:t>
            </w:r>
            <w:r>
              <w:rPr>
                <w:sz w:val="20"/>
                <w:szCs w:val="16"/>
              </w:rPr>
              <w:t xml:space="preserve"> Standard errors are denoted in parentheses. </w:t>
            </w:r>
            <w:r w:rsidRPr="00E84D59">
              <w:rPr>
                <w:sz w:val="20"/>
                <w:szCs w:val="16"/>
              </w:rPr>
              <w:t>VAST=Varieties of Sadistic Tendencies; ACME = Affective and Cognitive Measure of Empathy; NPI=Narcissistic Personality Inventory; PID-5=Personality Inventory for DSM-5—Brief Form; HSNS=Hyper</w:t>
            </w:r>
            <w:r>
              <w:rPr>
                <w:sz w:val="20"/>
                <w:szCs w:val="16"/>
              </w:rPr>
              <w:t>s</w:t>
            </w:r>
            <w:r w:rsidRPr="00E84D59">
              <w:rPr>
                <w:sz w:val="20"/>
                <w:szCs w:val="16"/>
              </w:rPr>
              <w:t xml:space="preserve">ensitive Narcissism Scale. </w:t>
            </w:r>
          </w:p>
        </w:tc>
      </w:tr>
    </w:tbl>
    <w:p w14:paraId="4685BFC4" w14:textId="62C5D222" w:rsidR="00A104CE" w:rsidRPr="00030B89" w:rsidRDefault="00A104CE" w:rsidP="00895E39">
      <w:pPr>
        <w:rPr>
          <w:sz w:val="21"/>
        </w:rPr>
      </w:pPr>
    </w:p>
    <w:sectPr w:rsidR="00A104CE" w:rsidRPr="00030B89" w:rsidSect="00A104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9BA4B" w14:textId="77777777" w:rsidR="00AE2CB9" w:rsidRDefault="00AE2CB9" w:rsidP="00E77642">
      <w:r>
        <w:separator/>
      </w:r>
    </w:p>
  </w:endnote>
  <w:endnote w:type="continuationSeparator" w:id="0">
    <w:p w14:paraId="43A5C930" w14:textId="77777777" w:rsidR="00AE2CB9" w:rsidRDefault="00AE2CB9" w:rsidP="00E77642">
      <w:r>
        <w:continuationSeparator/>
      </w:r>
    </w:p>
  </w:endnote>
  <w:endnote w:type="continuationNotice" w:id="1">
    <w:p w14:paraId="639170F9" w14:textId="77777777" w:rsidR="00AE2CB9" w:rsidRDefault="00AE2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FB549" w14:textId="77777777" w:rsidR="00AE2CB9" w:rsidRDefault="00AE2CB9" w:rsidP="00E77642">
      <w:r>
        <w:separator/>
      </w:r>
    </w:p>
  </w:footnote>
  <w:footnote w:type="continuationSeparator" w:id="0">
    <w:p w14:paraId="1C8E29AC" w14:textId="77777777" w:rsidR="00AE2CB9" w:rsidRDefault="00AE2CB9" w:rsidP="00E77642">
      <w:r>
        <w:continuationSeparator/>
      </w:r>
    </w:p>
  </w:footnote>
  <w:footnote w:type="continuationNotice" w:id="1">
    <w:p w14:paraId="27019E26" w14:textId="77777777" w:rsidR="00AE2CB9" w:rsidRDefault="00AE2CB9"/>
  </w:footnote>
  <w:footnote w:id="2">
    <w:p w14:paraId="2E03D61F" w14:textId="2C6B44CA" w:rsidR="003C6938" w:rsidRDefault="003C6938" w:rsidP="00B20DAF">
      <w:r w:rsidRPr="00380668">
        <w:rPr>
          <w:rStyle w:val="FootnoteReference"/>
          <w:sz w:val="20"/>
          <w:szCs w:val="20"/>
        </w:rPr>
        <w:footnoteRef/>
      </w:r>
      <w:r w:rsidRPr="00380668">
        <w:rPr>
          <w:sz w:val="20"/>
          <w:szCs w:val="20"/>
        </w:rPr>
        <w:t xml:space="preserve">Sexual harassment bears superficial similarities to ISOP behaviors. Still, harassment is conceptually and perhaps empirically distinct from objectification (Gervais &amp; Eagan, 2017). ISOP (a) </w:t>
      </w:r>
      <w:r w:rsidRPr="00380668">
        <w:rPr>
          <w:color w:val="000000"/>
          <w:sz w:val="20"/>
          <w:szCs w:val="20"/>
        </w:rPr>
        <w:t xml:space="preserve">occurs when a person is dehumanized and reduced to his or her sexual attributes for use by others and (b) encompasses behaviors that are beyond the scope of sexual harassment, such as covert evaluation of others’ sexual body parts. </w:t>
      </w:r>
      <w:r>
        <w:rPr>
          <w:color w:val="000000"/>
          <w:sz w:val="20"/>
          <w:szCs w:val="20"/>
        </w:rPr>
        <w:t>S</w:t>
      </w:r>
      <w:r w:rsidRPr="00380668">
        <w:rPr>
          <w:color w:val="000000"/>
          <w:sz w:val="20"/>
          <w:szCs w:val="20"/>
        </w:rPr>
        <w:t>exual harassment entails behaviors that are not encompassed by ISOP, such as telling inappropriate sexual jokes, espousing gendered stereotypes, attempts at sexual coercion, and a willingness to capitalize on workplace power dynamics (Carre</w:t>
      </w:r>
      <w:r>
        <w:rPr>
          <w:color w:val="000000"/>
          <w:sz w:val="20"/>
          <w:szCs w:val="20"/>
        </w:rPr>
        <w:t xml:space="preserve"> et al., 2018</w:t>
      </w:r>
      <w:r w:rsidRPr="00380668">
        <w:rPr>
          <w:sz w:val="20"/>
          <w:szCs w:val="20"/>
        </w:rPr>
        <w:t xml:space="preserve">; </w:t>
      </w:r>
      <w:r w:rsidRPr="00380668">
        <w:rPr>
          <w:color w:val="000000"/>
          <w:sz w:val="20"/>
          <w:szCs w:val="20"/>
        </w:rPr>
        <w:t xml:space="preserve">Pryor, 1987).  </w:t>
      </w:r>
    </w:p>
  </w:footnote>
  <w:footnote w:id="3">
    <w:p w14:paraId="232FAE3A" w14:textId="2AAC845D" w:rsidR="003C6938" w:rsidRDefault="003C6938">
      <w:pPr>
        <w:pStyle w:val="FootnoteText"/>
      </w:pPr>
      <w:r>
        <w:rPr>
          <w:rStyle w:val="FootnoteReference"/>
        </w:rPr>
        <w:footnoteRef/>
      </w:r>
      <w:r w:rsidRPr="00A104CE">
        <w:rPr>
          <w:sz w:val="20"/>
          <w:szCs w:val="21"/>
        </w:rPr>
        <w:t xml:space="preserve">We did not advance specific predictions concerning the factor structure of the ISOS-PR other than that our factor analyses would yield distinguishable attitudinal and behavioral factors, opting instead to compare several models (full and reduced versions) that have been previously tested in the literature (e.g., Gervais et al., 2018), which are presented in supplementary materials (Tables S1-S7). </w:t>
      </w:r>
    </w:p>
  </w:footnote>
  <w:footnote w:id="4">
    <w:p w14:paraId="71E24AF0" w14:textId="43115ACE" w:rsidR="003C6938" w:rsidRPr="005A07CE" w:rsidRDefault="003C6938" w:rsidP="002B3BEE">
      <w:pPr>
        <w:pStyle w:val="FootnoteText"/>
        <w:rPr>
          <w:sz w:val="20"/>
          <w:szCs w:val="20"/>
        </w:rPr>
      </w:pPr>
      <w:r w:rsidRPr="009C2288">
        <w:rPr>
          <w:rStyle w:val="FootnoteReference"/>
          <w:sz w:val="20"/>
          <w:szCs w:val="20"/>
        </w:rPr>
        <w:footnoteRef/>
      </w:r>
      <w:r w:rsidRPr="009C2288">
        <w:rPr>
          <w:sz w:val="20"/>
          <w:szCs w:val="20"/>
        </w:rPr>
        <w:t xml:space="preserve">Two additional attitudinal items were administered and subsequently deemed not </w:t>
      </w:r>
      <w:r>
        <w:rPr>
          <w:sz w:val="20"/>
          <w:szCs w:val="20"/>
        </w:rPr>
        <w:t xml:space="preserve">to be </w:t>
      </w:r>
      <w:r w:rsidRPr="009C2288">
        <w:rPr>
          <w:sz w:val="20"/>
          <w:szCs w:val="20"/>
        </w:rPr>
        <w:t xml:space="preserve">face valid as they appeared to assess broad interpersonal objectification, narcissism, and instrumentality, rather than ISOP </w:t>
      </w:r>
      <w:r w:rsidRPr="009C2288">
        <w:rPr>
          <w:i/>
          <w:iCs/>
          <w:sz w:val="20"/>
          <w:szCs w:val="20"/>
        </w:rPr>
        <w:t>per se</w:t>
      </w:r>
      <w:r w:rsidRPr="009C2288">
        <w:rPr>
          <w:sz w:val="20"/>
          <w:szCs w:val="20"/>
        </w:rPr>
        <w:t xml:space="preserve">. </w:t>
      </w:r>
      <w:r>
        <w:rPr>
          <w:sz w:val="20"/>
          <w:szCs w:val="20"/>
        </w:rPr>
        <w:t>S</w:t>
      </w:r>
      <w:r w:rsidRPr="009C2288">
        <w:rPr>
          <w:sz w:val="20"/>
          <w:szCs w:val="20"/>
        </w:rPr>
        <w:t xml:space="preserve">ensitivity analyses revealed that removing these items did not change factor analytic results, </w:t>
      </w:r>
      <w:r>
        <w:rPr>
          <w:sz w:val="20"/>
          <w:szCs w:val="20"/>
        </w:rPr>
        <w:t xml:space="preserve">and </w:t>
      </w:r>
      <w:r w:rsidRPr="009C2288">
        <w:rPr>
          <w:sz w:val="20"/>
          <w:szCs w:val="20"/>
        </w:rPr>
        <w:t xml:space="preserve">external validity analyses yielded </w:t>
      </w:r>
      <w:r>
        <w:rPr>
          <w:sz w:val="20"/>
          <w:szCs w:val="20"/>
        </w:rPr>
        <w:t>quite similar</w:t>
      </w:r>
      <w:r w:rsidRPr="009C2288">
        <w:rPr>
          <w:sz w:val="20"/>
          <w:szCs w:val="20"/>
        </w:rPr>
        <w:t xml:space="preserve"> results (change in</w:t>
      </w:r>
      <w:r w:rsidRPr="009C2288">
        <w:rPr>
          <w:i/>
          <w:sz w:val="20"/>
          <w:szCs w:val="20"/>
        </w:rPr>
        <w:t xml:space="preserve"> r</w:t>
      </w:r>
      <w:r w:rsidRPr="009C2288">
        <w:rPr>
          <w:sz w:val="20"/>
          <w:szCs w:val="20"/>
        </w:rPr>
        <w:t>s &lt; .04) across the two sets of items</w:t>
      </w:r>
      <w:r>
        <w:rPr>
          <w:sz w:val="20"/>
          <w:szCs w:val="20"/>
        </w:rPr>
        <w:t xml:space="preserve"> so we proceeded without the additional items.</w:t>
      </w:r>
      <w:r w:rsidRPr="009C2288">
        <w:rPr>
          <w:sz w:val="20"/>
          <w:szCs w:val="20"/>
        </w:rPr>
        <w:t xml:space="preserve"> </w:t>
      </w:r>
    </w:p>
  </w:footnote>
  <w:footnote w:id="5">
    <w:p w14:paraId="257157EA" w14:textId="77777777" w:rsidR="003C6938" w:rsidRPr="00B840E4" w:rsidRDefault="003C6938" w:rsidP="00B9793C">
      <w:pPr>
        <w:pStyle w:val="FootnoteText"/>
        <w:rPr>
          <w:sz w:val="20"/>
          <w:szCs w:val="20"/>
        </w:rPr>
      </w:pPr>
      <w:r w:rsidRPr="00B840E4">
        <w:rPr>
          <w:rStyle w:val="FootnoteReference"/>
          <w:sz w:val="20"/>
          <w:szCs w:val="20"/>
        </w:rPr>
        <w:footnoteRef/>
      </w:r>
      <w:r w:rsidRPr="00B840E4">
        <w:rPr>
          <w:sz w:val="20"/>
          <w:szCs w:val="20"/>
        </w:rPr>
        <w:t>Gervais and colleagues (2018) examined the internal structure of the ISOS-P. Their chosen factor structure was a bifactor model with three orthogonal specific factors, suggesting that the ISOS-P can be parsed into a general liability factor for ISOP as well as three behavioral subcomponents: Body Comments (BC); Body Gaze (BG); and Unwanted Explicit Sexual Advances (UESA). Total scores demonstrated promising convergent validity, although there was little reliable variance in the specific factors. . In Sample 1, we tested a similar bifactor model with orthogonal BC, BG, EUSA, and Attitudes factors, which fit the data moderately well (Χ</w:t>
      </w:r>
      <w:r w:rsidRPr="00B840E4">
        <w:rPr>
          <w:sz w:val="20"/>
          <w:szCs w:val="20"/>
          <w:vertAlign w:val="superscript"/>
        </w:rPr>
        <w:t>2</w:t>
      </w:r>
      <w:r w:rsidRPr="00B840E4">
        <w:rPr>
          <w:sz w:val="20"/>
          <w:szCs w:val="20"/>
        </w:rPr>
        <w:t xml:space="preserve"> = 1226.65, df = 207, p&lt;.001; RMSEA = .11; CFI = .97; TLI = .96; WRMR = 1.62). Still, the bifactor model was less than ideal for four reasons. First, we needed to impose several constraints on this model to avoid negative residual variances for two items (#s 2 &amp; 13). Second, although the general factor was relatively well-represented by its indicators (mean λ = .76), the specific factors were generally not as well represented (mean λ</w:t>
      </w:r>
      <w:r w:rsidRPr="00B840E4">
        <w:rPr>
          <w:sz w:val="20"/>
          <w:szCs w:val="20"/>
          <w:vertAlign w:val="subscript"/>
        </w:rPr>
        <w:t>Attitudes</w:t>
      </w:r>
      <w:r w:rsidRPr="00B840E4">
        <w:rPr>
          <w:sz w:val="20"/>
          <w:szCs w:val="20"/>
        </w:rPr>
        <w:t>: .42, λ</w:t>
      </w:r>
      <w:r w:rsidRPr="00B840E4">
        <w:rPr>
          <w:sz w:val="20"/>
          <w:szCs w:val="20"/>
          <w:vertAlign w:val="subscript"/>
        </w:rPr>
        <w:t>BE</w:t>
      </w:r>
      <w:r w:rsidRPr="00B840E4">
        <w:rPr>
          <w:sz w:val="20"/>
          <w:szCs w:val="20"/>
        </w:rPr>
        <w:t>: .41, λ</w:t>
      </w:r>
      <w:r w:rsidRPr="00B840E4">
        <w:rPr>
          <w:sz w:val="20"/>
          <w:szCs w:val="20"/>
          <w:vertAlign w:val="subscript"/>
        </w:rPr>
        <w:t>BG</w:t>
      </w:r>
      <w:r w:rsidRPr="00B840E4">
        <w:rPr>
          <w:sz w:val="20"/>
          <w:szCs w:val="20"/>
        </w:rPr>
        <w:t>: .49, λ</w:t>
      </w:r>
      <w:r w:rsidRPr="00B840E4">
        <w:rPr>
          <w:sz w:val="20"/>
          <w:szCs w:val="20"/>
          <w:vertAlign w:val="subscript"/>
        </w:rPr>
        <w:t>UESA</w:t>
      </w:r>
      <w:r w:rsidRPr="00B840E4">
        <w:rPr>
          <w:sz w:val="20"/>
          <w:szCs w:val="20"/>
        </w:rPr>
        <w:t>: .09). Third, the specific factors’ reliabilities were generally below the acceptable benchmark, and often concerningly low (H</w:t>
      </w:r>
      <w:r w:rsidRPr="00B840E4">
        <w:rPr>
          <w:sz w:val="20"/>
          <w:szCs w:val="20"/>
          <w:vertAlign w:val="subscript"/>
        </w:rPr>
        <w:t>Attitudes</w:t>
      </w:r>
      <w:r w:rsidRPr="00B840E4">
        <w:rPr>
          <w:sz w:val="20"/>
          <w:szCs w:val="20"/>
        </w:rPr>
        <w:t>: .69, H</w:t>
      </w:r>
      <w:r w:rsidRPr="00B840E4">
        <w:rPr>
          <w:sz w:val="20"/>
          <w:szCs w:val="20"/>
          <w:vertAlign w:val="subscript"/>
        </w:rPr>
        <w:t>BE</w:t>
      </w:r>
      <w:r w:rsidRPr="00B840E4">
        <w:rPr>
          <w:sz w:val="20"/>
          <w:szCs w:val="20"/>
        </w:rPr>
        <w:t>: .27, H</w:t>
      </w:r>
      <w:r w:rsidRPr="00B840E4">
        <w:rPr>
          <w:sz w:val="20"/>
          <w:szCs w:val="20"/>
          <w:vertAlign w:val="subscript"/>
        </w:rPr>
        <w:t>BG</w:t>
      </w:r>
      <w:r w:rsidRPr="00B840E4">
        <w:rPr>
          <w:sz w:val="20"/>
          <w:szCs w:val="20"/>
        </w:rPr>
        <w:t>: .53, H</w:t>
      </w:r>
      <w:r w:rsidRPr="00B840E4">
        <w:rPr>
          <w:sz w:val="20"/>
          <w:szCs w:val="20"/>
          <w:vertAlign w:val="subscript"/>
        </w:rPr>
        <w:t>UESA</w:t>
      </w:r>
      <w:r w:rsidRPr="00B840E4">
        <w:rPr>
          <w:sz w:val="20"/>
          <w:szCs w:val="20"/>
        </w:rPr>
        <w:t xml:space="preserve">: .05). Fourth, a growing body of literature demonstrates that model fit is biased in favor of detecting a bifactor model (e.g., Murray &amp; Johnson, 2013) despite evidence that bifactor models with orthogonal specific factors tend to yield specific factors of decreased reliability (Bonifay, Lane, &amp; Reise, 2017; Watts, Poore, &amp; Waldman, 2019). </w:t>
      </w:r>
    </w:p>
    <w:p w14:paraId="08466BB3" w14:textId="77777777" w:rsidR="003C6938" w:rsidRDefault="003C6938" w:rsidP="00B9793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086942"/>
      <w:docPartObj>
        <w:docPartGallery w:val="Page Numbers (Top of Page)"/>
        <w:docPartUnique/>
      </w:docPartObj>
    </w:sdtPr>
    <w:sdtEndPr>
      <w:rPr>
        <w:noProof/>
      </w:rPr>
    </w:sdtEndPr>
    <w:sdtContent>
      <w:p w14:paraId="327CADD7" w14:textId="6DCAD6FF" w:rsidR="003C6938" w:rsidRDefault="003C6938">
        <w:pPr>
          <w:pStyle w:val="Header"/>
          <w:jc w:val="right"/>
        </w:pPr>
        <w:r>
          <w:fldChar w:fldCharType="begin"/>
        </w:r>
        <w:r>
          <w:instrText xml:space="preserve"> PAGE   \* MERGEFORMAT </w:instrText>
        </w:r>
        <w:r>
          <w:fldChar w:fldCharType="separate"/>
        </w:r>
        <w:r w:rsidR="003F3D0E">
          <w:rPr>
            <w:noProof/>
          </w:rPr>
          <w:t>35</w:t>
        </w:r>
        <w:r>
          <w:rPr>
            <w:noProof/>
          </w:rPr>
          <w:fldChar w:fldCharType="end"/>
        </w:r>
      </w:p>
    </w:sdtContent>
  </w:sdt>
  <w:p w14:paraId="7EAE1C10" w14:textId="4AC4FC1F" w:rsidR="003C6938" w:rsidRDefault="003C6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B850" w14:textId="0E732896" w:rsidR="003C6938" w:rsidRDefault="003C6938" w:rsidP="00B87A1B">
    <w:pPr>
      <w:pStyle w:val="Header"/>
      <w:ind w:right="360"/>
    </w:pPr>
    <w:r>
      <w:rPr>
        <w:rStyle w:val="PageNumber"/>
      </w:rPr>
      <w:t xml:space="preserve">Running head: PERSONALITY AND SEXUAL OBJECTIFICATION  </w:t>
    </w:r>
    <w:r>
      <w:rPr>
        <w:rStyle w:val="PageNumber"/>
      </w:rPr>
      <w:tab/>
    </w:r>
  </w:p>
  <w:p w14:paraId="558FBC3D" w14:textId="77777777" w:rsidR="003C6938" w:rsidRDefault="003C6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614825"/>
      <w:docPartObj>
        <w:docPartGallery w:val="Page Numbers (Top of Page)"/>
        <w:docPartUnique/>
      </w:docPartObj>
    </w:sdtPr>
    <w:sdtEndPr>
      <w:rPr>
        <w:noProof/>
      </w:rPr>
    </w:sdtEndPr>
    <w:sdtContent>
      <w:p w14:paraId="3C0630E3" w14:textId="39853BB9" w:rsidR="003C6938" w:rsidRDefault="003C6938">
        <w:pPr>
          <w:pStyle w:val="Header"/>
          <w:jc w:val="right"/>
        </w:pPr>
        <w:r>
          <w:fldChar w:fldCharType="begin"/>
        </w:r>
        <w:r>
          <w:instrText xml:space="preserve"> PAGE   \* MERGEFORMAT </w:instrText>
        </w:r>
        <w:r>
          <w:fldChar w:fldCharType="separate"/>
        </w:r>
        <w:r w:rsidR="00A104CE">
          <w:rPr>
            <w:noProof/>
          </w:rPr>
          <w:t>33</w:t>
        </w:r>
        <w:r>
          <w:rPr>
            <w:noProof/>
          </w:rPr>
          <w:fldChar w:fldCharType="end"/>
        </w:r>
      </w:p>
    </w:sdtContent>
  </w:sdt>
  <w:p w14:paraId="2F770C19" w14:textId="77777777" w:rsidR="003C6938" w:rsidRDefault="003C6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43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46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C663BCB"/>
    <w:multiLevelType w:val="hybridMultilevel"/>
    <w:tmpl w:val="54EA1AC8"/>
    <w:lvl w:ilvl="0" w:tplc="F4C6F4F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642"/>
    <w:rsid w:val="000015DF"/>
    <w:rsid w:val="000016C0"/>
    <w:rsid w:val="00001C2F"/>
    <w:rsid w:val="00001C51"/>
    <w:rsid w:val="00002A69"/>
    <w:rsid w:val="00003ABE"/>
    <w:rsid w:val="00005166"/>
    <w:rsid w:val="00005489"/>
    <w:rsid w:val="00007614"/>
    <w:rsid w:val="00010279"/>
    <w:rsid w:val="00011134"/>
    <w:rsid w:val="00011646"/>
    <w:rsid w:val="000118E6"/>
    <w:rsid w:val="0001351A"/>
    <w:rsid w:val="000156BE"/>
    <w:rsid w:val="00015BBD"/>
    <w:rsid w:val="00015F67"/>
    <w:rsid w:val="000160FA"/>
    <w:rsid w:val="00016377"/>
    <w:rsid w:val="00016704"/>
    <w:rsid w:val="00016B12"/>
    <w:rsid w:val="000176C0"/>
    <w:rsid w:val="00017C6B"/>
    <w:rsid w:val="00020496"/>
    <w:rsid w:val="00021D8C"/>
    <w:rsid w:val="000233A8"/>
    <w:rsid w:val="000237E1"/>
    <w:rsid w:val="00024183"/>
    <w:rsid w:val="0002421F"/>
    <w:rsid w:val="00024A4C"/>
    <w:rsid w:val="000255AC"/>
    <w:rsid w:val="000260EB"/>
    <w:rsid w:val="000268AF"/>
    <w:rsid w:val="00026E14"/>
    <w:rsid w:val="0002781E"/>
    <w:rsid w:val="0002783A"/>
    <w:rsid w:val="00027F04"/>
    <w:rsid w:val="00030B89"/>
    <w:rsid w:val="000314DD"/>
    <w:rsid w:val="000320ED"/>
    <w:rsid w:val="00032D77"/>
    <w:rsid w:val="000331D7"/>
    <w:rsid w:val="0003367A"/>
    <w:rsid w:val="000338CB"/>
    <w:rsid w:val="0003463E"/>
    <w:rsid w:val="00035CD0"/>
    <w:rsid w:val="00035D28"/>
    <w:rsid w:val="000365E5"/>
    <w:rsid w:val="00037D8B"/>
    <w:rsid w:val="00040CFE"/>
    <w:rsid w:val="00041237"/>
    <w:rsid w:val="0004156E"/>
    <w:rsid w:val="00041C7B"/>
    <w:rsid w:val="00042336"/>
    <w:rsid w:val="00042949"/>
    <w:rsid w:val="0004372E"/>
    <w:rsid w:val="00043CF5"/>
    <w:rsid w:val="000444ED"/>
    <w:rsid w:val="000445C8"/>
    <w:rsid w:val="00044C1A"/>
    <w:rsid w:val="0004535A"/>
    <w:rsid w:val="00045D02"/>
    <w:rsid w:val="00045D35"/>
    <w:rsid w:val="00045F74"/>
    <w:rsid w:val="00045FF8"/>
    <w:rsid w:val="00046AA4"/>
    <w:rsid w:val="000472C7"/>
    <w:rsid w:val="00047A79"/>
    <w:rsid w:val="00047B1D"/>
    <w:rsid w:val="00050615"/>
    <w:rsid w:val="00050A0A"/>
    <w:rsid w:val="00050C8F"/>
    <w:rsid w:val="00050ECE"/>
    <w:rsid w:val="00052553"/>
    <w:rsid w:val="00052ECA"/>
    <w:rsid w:val="0005339C"/>
    <w:rsid w:val="000534CB"/>
    <w:rsid w:val="00053E63"/>
    <w:rsid w:val="0005463D"/>
    <w:rsid w:val="0005531F"/>
    <w:rsid w:val="00055E84"/>
    <w:rsid w:val="00056F37"/>
    <w:rsid w:val="000575B1"/>
    <w:rsid w:val="000614B0"/>
    <w:rsid w:val="000614B7"/>
    <w:rsid w:val="000625DA"/>
    <w:rsid w:val="0006264C"/>
    <w:rsid w:val="00062908"/>
    <w:rsid w:val="00063806"/>
    <w:rsid w:val="000651F2"/>
    <w:rsid w:val="00066906"/>
    <w:rsid w:val="00066F72"/>
    <w:rsid w:val="00067893"/>
    <w:rsid w:val="000712A1"/>
    <w:rsid w:val="000715DC"/>
    <w:rsid w:val="000720F5"/>
    <w:rsid w:val="00072348"/>
    <w:rsid w:val="00072D25"/>
    <w:rsid w:val="0007354C"/>
    <w:rsid w:val="00074047"/>
    <w:rsid w:val="00075F69"/>
    <w:rsid w:val="000769F4"/>
    <w:rsid w:val="00076FD7"/>
    <w:rsid w:val="000776E1"/>
    <w:rsid w:val="000778FA"/>
    <w:rsid w:val="00080700"/>
    <w:rsid w:val="000809AA"/>
    <w:rsid w:val="00080AEE"/>
    <w:rsid w:val="00081E10"/>
    <w:rsid w:val="0008272F"/>
    <w:rsid w:val="00083915"/>
    <w:rsid w:val="000839FB"/>
    <w:rsid w:val="00083BCA"/>
    <w:rsid w:val="000856EF"/>
    <w:rsid w:val="000860A4"/>
    <w:rsid w:val="0008628A"/>
    <w:rsid w:val="000862E0"/>
    <w:rsid w:val="00086CA5"/>
    <w:rsid w:val="00087763"/>
    <w:rsid w:val="000878DE"/>
    <w:rsid w:val="00090525"/>
    <w:rsid w:val="00090B52"/>
    <w:rsid w:val="00091C5C"/>
    <w:rsid w:val="000923FE"/>
    <w:rsid w:val="00092803"/>
    <w:rsid w:val="00092B71"/>
    <w:rsid w:val="00093809"/>
    <w:rsid w:val="00093C84"/>
    <w:rsid w:val="000940BD"/>
    <w:rsid w:val="0009508E"/>
    <w:rsid w:val="00095E35"/>
    <w:rsid w:val="00095F24"/>
    <w:rsid w:val="00096A74"/>
    <w:rsid w:val="000A0E55"/>
    <w:rsid w:val="000A1CE8"/>
    <w:rsid w:val="000A2E72"/>
    <w:rsid w:val="000A3626"/>
    <w:rsid w:val="000A448C"/>
    <w:rsid w:val="000A4598"/>
    <w:rsid w:val="000A4760"/>
    <w:rsid w:val="000A4C74"/>
    <w:rsid w:val="000A4D01"/>
    <w:rsid w:val="000A4E56"/>
    <w:rsid w:val="000A4E68"/>
    <w:rsid w:val="000A4EFB"/>
    <w:rsid w:val="000A561D"/>
    <w:rsid w:val="000A6C81"/>
    <w:rsid w:val="000A70CE"/>
    <w:rsid w:val="000A76B5"/>
    <w:rsid w:val="000A7B29"/>
    <w:rsid w:val="000A7C02"/>
    <w:rsid w:val="000B07C7"/>
    <w:rsid w:val="000B10DA"/>
    <w:rsid w:val="000B1249"/>
    <w:rsid w:val="000B250D"/>
    <w:rsid w:val="000B2EB1"/>
    <w:rsid w:val="000B309C"/>
    <w:rsid w:val="000B319A"/>
    <w:rsid w:val="000B3602"/>
    <w:rsid w:val="000B37CC"/>
    <w:rsid w:val="000B4152"/>
    <w:rsid w:val="000B4810"/>
    <w:rsid w:val="000B61A9"/>
    <w:rsid w:val="000B6527"/>
    <w:rsid w:val="000B7089"/>
    <w:rsid w:val="000C0E91"/>
    <w:rsid w:val="000C198A"/>
    <w:rsid w:val="000C43F0"/>
    <w:rsid w:val="000C4503"/>
    <w:rsid w:val="000C4A4A"/>
    <w:rsid w:val="000C58F4"/>
    <w:rsid w:val="000C599D"/>
    <w:rsid w:val="000C60EF"/>
    <w:rsid w:val="000C641B"/>
    <w:rsid w:val="000C71E7"/>
    <w:rsid w:val="000C71FF"/>
    <w:rsid w:val="000C7EAE"/>
    <w:rsid w:val="000D05CB"/>
    <w:rsid w:val="000D1AFA"/>
    <w:rsid w:val="000D1DC2"/>
    <w:rsid w:val="000D1FE9"/>
    <w:rsid w:val="000D2247"/>
    <w:rsid w:val="000D23A4"/>
    <w:rsid w:val="000D23E9"/>
    <w:rsid w:val="000D2E3C"/>
    <w:rsid w:val="000D324D"/>
    <w:rsid w:val="000D4A10"/>
    <w:rsid w:val="000D4A28"/>
    <w:rsid w:val="000D57EB"/>
    <w:rsid w:val="000D5D04"/>
    <w:rsid w:val="000D631E"/>
    <w:rsid w:val="000D6661"/>
    <w:rsid w:val="000D6E7A"/>
    <w:rsid w:val="000D7208"/>
    <w:rsid w:val="000D79F5"/>
    <w:rsid w:val="000D7EE1"/>
    <w:rsid w:val="000E032F"/>
    <w:rsid w:val="000E0BE6"/>
    <w:rsid w:val="000E1776"/>
    <w:rsid w:val="000E1F68"/>
    <w:rsid w:val="000E2382"/>
    <w:rsid w:val="000E25A6"/>
    <w:rsid w:val="000E3AF7"/>
    <w:rsid w:val="000E42C3"/>
    <w:rsid w:val="000E43C4"/>
    <w:rsid w:val="000E47A6"/>
    <w:rsid w:val="000E4D3E"/>
    <w:rsid w:val="000E4F68"/>
    <w:rsid w:val="000E683A"/>
    <w:rsid w:val="000E7377"/>
    <w:rsid w:val="000E792A"/>
    <w:rsid w:val="000E7F91"/>
    <w:rsid w:val="000F0B68"/>
    <w:rsid w:val="000F163E"/>
    <w:rsid w:val="000F19C7"/>
    <w:rsid w:val="000F1D35"/>
    <w:rsid w:val="000F1E61"/>
    <w:rsid w:val="000F20C0"/>
    <w:rsid w:val="000F2C31"/>
    <w:rsid w:val="000F38E3"/>
    <w:rsid w:val="000F521D"/>
    <w:rsid w:val="000F5E57"/>
    <w:rsid w:val="000F67F8"/>
    <w:rsid w:val="000F6F64"/>
    <w:rsid w:val="000F70F5"/>
    <w:rsid w:val="000F7725"/>
    <w:rsid w:val="000F7B9B"/>
    <w:rsid w:val="000F7DA3"/>
    <w:rsid w:val="000F7FD6"/>
    <w:rsid w:val="0010019E"/>
    <w:rsid w:val="0010046C"/>
    <w:rsid w:val="00101806"/>
    <w:rsid w:val="001019BA"/>
    <w:rsid w:val="001029AD"/>
    <w:rsid w:val="00102A96"/>
    <w:rsid w:val="00102FBC"/>
    <w:rsid w:val="00103222"/>
    <w:rsid w:val="00103E4B"/>
    <w:rsid w:val="0010407E"/>
    <w:rsid w:val="001040A3"/>
    <w:rsid w:val="001054D3"/>
    <w:rsid w:val="001057A6"/>
    <w:rsid w:val="00105CF3"/>
    <w:rsid w:val="00105E30"/>
    <w:rsid w:val="0010620A"/>
    <w:rsid w:val="001065B2"/>
    <w:rsid w:val="00106602"/>
    <w:rsid w:val="00106FA4"/>
    <w:rsid w:val="0011067C"/>
    <w:rsid w:val="0011071C"/>
    <w:rsid w:val="001107A6"/>
    <w:rsid w:val="00110C38"/>
    <w:rsid w:val="00111A85"/>
    <w:rsid w:val="00111F41"/>
    <w:rsid w:val="0011238A"/>
    <w:rsid w:val="00112554"/>
    <w:rsid w:val="00112AFF"/>
    <w:rsid w:val="00112F3D"/>
    <w:rsid w:val="00113F14"/>
    <w:rsid w:val="00113FDA"/>
    <w:rsid w:val="00115358"/>
    <w:rsid w:val="0011544E"/>
    <w:rsid w:val="0011631A"/>
    <w:rsid w:val="00116EF7"/>
    <w:rsid w:val="00116F2D"/>
    <w:rsid w:val="00116F5D"/>
    <w:rsid w:val="00117B2A"/>
    <w:rsid w:val="00117B6F"/>
    <w:rsid w:val="00117C6E"/>
    <w:rsid w:val="00117F63"/>
    <w:rsid w:val="00120493"/>
    <w:rsid w:val="00120C9E"/>
    <w:rsid w:val="0012256D"/>
    <w:rsid w:val="00123011"/>
    <w:rsid w:val="00123103"/>
    <w:rsid w:val="0012384F"/>
    <w:rsid w:val="00123D1A"/>
    <w:rsid w:val="001245A9"/>
    <w:rsid w:val="001250EE"/>
    <w:rsid w:val="001259DF"/>
    <w:rsid w:val="00125DF0"/>
    <w:rsid w:val="00126481"/>
    <w:rsid w:val="001304BB"/>
    <w:rsid w:val="00130DFA"/>
    <w:rsid w:val="001314C0"/>
    <w:rsid w:val="0013234A"/>
    <w:rsid w:val="00132695"/>
    <w:rsid w:val="00132A0E"/>
    <w:rsid w:val="00133326"/>
    <w:rsid w:val="00133EBB"/>
    <w:rsid w:val="0013408B"/>
    <w:rsid w:val="0013590A"/>
    <w:rsid w:val="00137511"/>
    <w:rsid w:val="0013763A"/>
    <w:rsid w:val="00137E9B"/>
    <w:rsid w:val="0014009A"/>
    <w:rsid w:val="001400C8"/>
    <w:rsid w:val="00140803"/>
    <w:rsid w:val="00140944"/>
    <w:rsid w:val="00140FD8"/>
    <w:rsid w:val="001417BD"/>
    <w:rsid w:val="00141AB8"/>
    <w:rsid w:val="00142563"/>
    <w:rsid w:val="001425FA"/>
    <w:rsid w:val="00143002"/>
    <w:rsid w:val="00143F6A"/>
    <w:rsid w:val="00144E3C"/>
    <w:rsid w:val="00145843"/>
    <w:rsid w:val="0014589E"/>
    <w:rsid w:val="00145D25"/>
    <w:rsid w:val="0014628D"/>
    <w:rsid w:val="00146A39"/>
    <w:rsid w:val="0014738C"/>
    <w:rsid w:val="00147D8B"/>
    <w:rsid w:val="00150F71"/>
    <w:rsid w:val="00151FC8"/>
    <w:rsid w:val="001526C6"/>
    <w:rsid w:val="00152BA6"/>
    <w:rsid w:val="00153B13"/>
    <w:rsid w:val="001544CF"/>
    <w:rsid w:val="0015543B"/>
    <w:rsid w:val="00156432"/>
    <w:rsid w:val="0015691B"/>
    <w:rsid w:val="00156B78"/>
    <w:rsid w:val="00157252"/>
    <w:rsid w:val="001576C3"/>
    <w:rsid w:val="00160DFB"/>
    <w:rsid w:val="001616F3"/>
    <w:rsid w:val="00161C80"/>
    <w:rsid w:val="00162150"/>
    <w:rsid w:val="00162415"/>
    <w:rsid w:val="001624FA"/>
    <w:rsid w:val="001626C0"/>
    <w:rsid w:val="0016352B"/>
    <w:rsid w:val="00163D5F"/>
    <w:rsid w:val="0016470F"/>
    <w:rsid w:val="00164FA2"/>
    <w:rsid w:val="00171BE1"/>
    <w:rsid w:val="00172381"/>
    <w:rsid w:val="00172FE2"/>
    <w:rsid w:val="001741A4"/>
    <w:rsid w:val="00174913"/>
    <w:rsid w:val="00175293"/>
    <w:rsid w:val="00175BE4"/>
    <w:rsid w:val="00176192"/>
    <w:rsid w:val="00176A3E"/>
    <w:rsid w:val="00177063"/>
    <w:rsid w:val="0017786A"/>
    <w:rsid w:val="0017793D"/>
    <w:rsid w:val="0018028F"/>
    <w:rsid w:val="0018084B"/>
    <w:rsid w:val="00180DE5"/>
    <w:rsid w:val="00180F99"/>
    <w:rsid w:val="0018106A"/>
    <w:rsid w:val="00181377"/>
    <w:rsid w:val="001827B5"/>
    <w:rsid w:val="0018321F"/>
    <w:rsid w:val="001846F2"/>
    <w:rsid w:val="00185A74"/>
    <w:rsid w:val="00185C65"/>
    <w:rsid w:val="0018741C"/>
    <w:rsid w:val="001874B2"/>
    <w:rsid w:val="00187901"/>
    <w:rsid w:val="00187A47"/>
    <w:rsid w:val="00190704"/>
    <w:rsid w:val="0019115C"/>
    <w:rsid w:val="0019119E"/>
    <w:rsid w:val="00191237"/>
    <w:rsid w:val="001912C2"/>
    <w:rsid w:val="00192AE9"/>
    <w:rsid w:val="0019363B"/>
    <w:rsid w:val="00193F7B"/>
    <w:rsid w:val="00194190"/>
    <w:rsid w:val="0019587C"/>
    <w:rsid w:val="0019598E"/>
    <w:rsid w:val="00197337"/>
    <w:rsid w:val="001975D4"/>
    <w:rsid w:val="00197D27"/>
    <w:rsid w:val="001A0359"/>
    <w:rsid w:val="001A1911"/>
    <w:rsid w:val="001A24C1"/>
    <w:rsid w:val="001A2FE2"/>
    <w:rsid w:val="001A3B85"/>
    <w:rsid w:val="001A45C7"/>
    <w:rsid w:val="001A52BC"/>
    <w:rsid w:val="001A5A45"/>
    <w:rsid w:val="001A5DBA"/>
    <w:rsid w:val="001A6B3B"/>
    <w:rsid w:val="001A6EC3"/>
    <w:rsid w:val="001A7459"/>
    <w:rsid w:val="001B083F"/>
    <w:rsid w:val="001B2607"/>
    <w:rsid w:val="001B2D3F"/>
    <w:rsid w:val="001B33A8"/>
    <w:rsid w:val="001B3BD9"/>
    <w:rsid w:val="001B41E4"/>
    <w:rsid w:val="001B4260"/>
    <w:rsid w:val="001B43FA"/>
    <w:rsid w:val="001B5664"/>
    <w:rsid w:val="001C04ED"/>
    <w:rsid w:val="001C11DF"/>
    <w:rsid w:val="001C1247"/>
    <w:rsid w:val="001C1ABA"/>
    <w:rsid w:val="001C2AB6"/>
    <w:rsid w:val="001C3574"/>
    <w:rsid w:val="001C3BDB"/>
    <w:rsid w:val="001C4194"/>
    <w:rsid w:val="001C42A3"/>
    <w:rsid w:val="001C44B0"/>
    <w:rsid w:val="001C554E"/>
    <w:rsid w:val="001C58D3"/>
    <w:rsid w:val="001C6BB6"/>
    <w:rsid w:val="001C739C"/>
    <w:rsid w:val="001D062E"/>
    <w:rsid w:val="001D22ED"/>
    <w:rsid w:val="001D24BE"/>
    <w:rsid w:val="001D35EE"/>
    <w:rsid w:val="001D4DB5"/>
    <w:rsid w:val="001D5122"/>
    <w:rsid w:val="001D5F25"/>
    <w:rsid w:val="001D627A"/>
    <w:rsid w:val="001D64DA"/>
    <w:rsid w:val="001D651A"/>
    <w:rsid w:val="001D789E"/>
    <w:rsid w:val="001E02DF"/>
    <w:rsid w:val="001E0802"/>
    <w:rsid w:val="001E0BEE"/>
    <w:rsid w:val="001E351A"/>
    <w:rsid w:val="001E36E8"/>
    <w:rsid w:val="001E39EB"/>
    <w:rsid w:val="001E3AC9"/>
    <w:rsid w:val="001E3C46"/>
    <w:rsid w:val="001E44CC"/>
    <w:rsid w:val="001E5753"/>
    <w:rsid w:val="001E6495"/>
    <w:rsid w:val="001E72A3"/>
    <w:rsid w:val="001E730A"/>
    <w:rsid w:val="001E7978"/>
    <w:rsid w:val="001F0D0E"/>
    <w:rsid w:val="001F1A07"/>
    <w:rsid w:val="001F1C69"/>
    <w:rsid w:val="001F2407"/>
    <w:rsid w:val="001F2C9C"/>
    <w:rsid w:val="001F2DC9"/>
    <w:rsid w:val="001F368B"/>
    <w:rsid w:val="001F3CBC"/>
    <w:rsid w:val="001F4774"/>
    <w:rsid w:val="001F567C"/>
    <w:rsid w:val="001F59A4"/>
    <w:rsid w:val="001F5C35"/>
    <w:rsid w:val="001F6AA1"/>
    <w:rsid w:val="001F6AAA"/>
    <w:rsid w:val="001F6D72"/>
    <w:rsid w:val="001F72F2"/>
    <w:rsid w:val="001F731A"/>
    <w:rsid w:val="0020056F"/>
    <w:rsid w:val="002005D8"/>
    <w:rsid w:val="00200EED"/>
    <w:rsid w:val="0020138C"/>
    <w:rsid w:val="00202093"/>
    <w:rsid w:val="00203060"/>
    <w:rsid w:val="00203618"/>
    <w:rsid w:val="00203E8F"/>
    <w:rsid w:val="002044FE"/>
    <w:rsid w:val="00204704"/>
    <w:rsid w:val="00204A05"/>
    <w:rsid w:val="00204D76"/>
    <w:rsid w:val="00204DD5"/>
    <w:rsid w:val="0020526D"/>
    <w:rsid w:val="002062D3"/>
    <w:rsid w:val="00206914"/>
    <w:rsid w:val="0021114B"/>
    <w:rsid w:val="00212252"/>
    <w:rsid w:val="0021262B"/>
    <w:rsid w:val="002126E5"/>
    <w:rsid w:val="00212E58"/>
    <w:rsid w:val="0021326D"/>
    <w:rsid w:val="002135DA"/>
    <w:rsid w:val="0021376C"/>
    <w:rsid w:val="0021461A"/>
    <w:rsid w:val="00215036"/>
    <w:rsid w:val="002152C1"/>
    <w:rsid w:val="00215A63"/>
    <w:rsid w:val="00217254"/>
    <w:rsid w:val="002176C2"/>
    <w:rsid w:val="00220366"/>
    <w:rsid w:val="00220D98"/>
    <w:rsid w:val="002211F3"/>
    <w:rsid w:val="00221E74"/>
    <w:rsid w:val="00221F4F"/>
    <w:rsid w:val="0022266B"/>
    <w:rsid w:val="00222978"/>
    <w:rsid w:val="00222CAB"/>
    <w:rsid w:val="00222D4C"/>
    <w:rsid w:val="00222F82"/>
    <w:rsid w:val="002244EF"/>
    <w:rsid w:val="00224703"/>
    <w:rsid w:val="00224BE1"/>
    <w:rsid w:val="00225AF4"/>
    <w:rsid w:val="0022710F"/>
    <w:rsid w:val="00227446"/>
    <w:rsid w:val="00231CBE"/>
    <w:rsid w:val="002320EB"/>
    <w:rsid w:val="00232753"/>
    <w:rsid w:val="00232FD0"/>
    <w:rsid w:val="00234716"/>
    <w:rsid w:val="00234F86"/>
    <w:rsid w:val="00235A0E"/>
    <w:rsid w:val="00235FB5"/>
    <w:rsid w:val="002368CA"/>
    <w:rsid w:val="00236A24"/>
    <w:rsid w:val="00236D82"/>
    <w:rsid w:val="00237505"/>
    <w:rsid w:val="00237A18"/>
    <w:rsid w:val="00237A1C"/>
    <w:rsid w:val="002401DB"/>
    <w:rsid w:val="002405AB"/>
    <w:rsid w:val="00240686"/>
    <w:rsid w:val="00240C49"/>
    <w:rsid w:val="00240C5C"/>
    <w:rsid w:val="00240D0E"/>
    <w:rsid w:val="0024175F"/>
    <w:rsid w:val="00242833"/>
    <w:rsid w:val="0024305A"/>
    <w:rsid w:val="00243182"/>
    <w:rsid w:val="0024358D"/>
    <w:rsid w:val="00243915"/>
    <w:rsid w:val="00243AFA"/>
    <w:rsid w:val="002447D1"/>
    <w:rsid w:val="0024533A"/>
    <w:rsid w:val="002459B4"/>
    <w:rsid w:val="00245AC5"/>
    <w:rsid w:val="0024640E"/>
    <w:rsid w:val="00246A1C"/>
    <w:rsid w:val="0024728A"/>
    <w:rsid w:val="00247A45"/>
    <w:rsid w:val="00252C61"/>
    <w:rsid w:val="00252D42"/>
    <w:rsid w:val="00253307"/>
    <w:rsid w:val="0025503D"/>
    <w:rsid w:val="00255456"/>
    <w:rsid w:val="00255D19"/>
    <w:rsid w:val="002560B1"/>
    <w:rsid w:val="00256D85"/>
    <w:rsid w:val="00257507"/>
    <w:rsid w:val="002616F8"/>
    <w:rsid w:val="00262091"/>
    <w:rsid w:val="0026219B"/>
    <w:rsid w:val="002627C4"/>
    <w:rsid w:val="00262997"/>
    <w:rsid w:val="002632B4"/>
    <w:rsid w:val="002639B4"/>
    <w:rsid w:val="0026468E"/>
    <w:rsid w:val="00264EBF"/>
    <w:rsid w:val="002651FA"/>
    <w:rsid w:val="00265FC2"/>
    <w:rsid w:val="00265FCA"/>
    <w:rsid w:val="00266444"/>
    <w:rsid w:val="0026697D"/>
    <w:rsid w:val="00267626"/>
    <w:rsid w:val="00267820"/>
    <w:rsid w:val="002714CA"/>
    <w:rsid w:val="00271ED4"/>
    <w:rsid w:val="00272253"/>
    <w:rsid w:val="002728EE"/>
    <w:rsid w:val="00272EA0"/>
    <w:rsid w:val="00272FB4"/>
    <w:rsid w:val="00273A29"/>
    <w:rsid w:val="00273F4E"/>
    <w:rsid w:val="00275CD8"/>
    <w:rsid w:val="002772BA"/>
    <w:rsid w:val="002774B7"/>
    <w:rsid w:val="00277997"/>
    <w:rsid w:val="00277DB2"/>
    <w:rsid w:val="002804D9"/>
    <w:rsid w:val="002810FE"/>
    <w:rsid w:val="0028150E"/>
    <w:rsid w:val="002817B1"/>
    <w:rsid w:val="00282740"/>
    <w:rsid w:val="00283013"/>
    <w:rsid w:val="00284CD6"/>
    <w:rsid w:val="00285133"/>
    <w:rsid w:val="00285A06"/>
    <w:rsid w:val="00285CF6"/>
    <w:rsid w:val="0028617C"/>
    <w:rsid w:val="00286C65"/>
    <w:rsid w:val="002877B7"/>
    <w:rsid w:val="00287DE5"/>
    <w:rsid w:val="002904C2"/>
    <w:rsid w:val="00291A07"/>
    <w:rsid w:val="00291D8D"/>
    <w:rsid w:val="00292557"/>
    <w:rsid w:val="00292688"/>
    <w:rsid w:val="00292A2A"/>
    <w:rsid w:val="00293952"/>
    <w:rsid w:val="00293A5B"/>
    <w:rsid w:val="0029424D"/>
    <w:rsid w:val="002942E7"/>
    <w:rsid w:val="00295BE7"/>
    <w:rsid w:val="00296BEB"/>
    <w:rsid w:val="00296C5E"/>
    <w:rsid w:val="00297636"/>
    <w:rsid w:val="00297B70"/>
    <w:rsid w:val="002A0A06"/>
    <w:rsid w:val="002A0A48"/>
    <w:rsid w:val="002A1BD6"/>
    <w:rsid w:val="002A23C7"/>
    <w:rsid w:val="002A24AF"/>
    <w:rsid w:val="002A3336"/>
    <w:rsid w:val="002A3813"/>
    <w:rsid w:val="002A439E"/>
    <w:rsid w:val="002A4828"/>
    <w:rsid w:val="002A6731"/>
    <w:rsid w:val="002A690C"/>
    <w:rsid w:val="002A7CDA"/>
    <w:rsid w:val="002A7EA3"/>
    <w:rsid w:val="002B07D1"/>
    <w:rsid w:val="002B09A1"/>
    <w:rsid w:val="002B198F"/>
    <w:rsid w:val="002B20A3"/>
    <w:rsid w:val="002B321C"/>
    <w:rsid w:val="002B3418"/>
    <w:rsid w:val="002B3BEE"/>
    <w:rsid w:val="002B48BE"/>
    <w:rsid w:val="002B4FD7"/>
    <w:rsid w:val="002B5035"/>
    <w:rsid w:val="002B5D26"/>
    <w:rsid w:val="002B5EBC"/>
    <w:rsid w:val="002C04C9"/>
    <w:rsid w:val="002C1024"/>
    <w:rsid w:val="002C1A62"/>
    <w:rsid w:val="002C27A1"/>
    <w:rsid w:val="002C2D21"/>
    <w:rsid w:val="002C2ECF"/>
    <w:rsid w:val="002C317E"/>
    <w:rsid w:val="002C6E5F"/>
    <w:rsid w:val="002D0F22"/>
    <w:rsid w:val="002D175B"/>
    <w:rsid w:val="002D1BD9"/>
    <w:rsid w:val="002D1D39"/>
    <w:rsid w:val="002D238A"/>
    <w:rsid w:val="002D2B31"/>
    <w:rsid w:val="002D2FAD"/>
    <w:rsid w:val="002D3425"/>
    <w:rsid w:val="002D3CAA"/>
    <w:rsid w:val="002D55B2"/>
    <w:rsid w:val="002D5EC0"/>
    <w:rsid w:val="002D6ADC"/>
    <w:rsid w:val="002D72B4"/>
    <w:rsid w:val="002D7A06"/>
    <w:rsid w:val="002D7D42"/>
    <w:rsid w:val="002E02D8"/>
    <w:rsid w:val="002E0ABE"/>
    <w:rsid w:val="002E0B32"/>
    <w:rsid w:val="002E22E8"/>
    <w:rsid w:val="002E32C9"/>
    <w:rsid w:val="002E3D6A"/>
    <w:rsid w:val="002E47AF"/>
    <w:rsid w:val="002E49BA"/>
    <w:rsid w:val="002E4BF8"/>
    <w:rsid w:val="002E571E"/>
    <w:rsid w:val="002E584F"/>
    <w:rsid w:val="002E64F2"/>
    <w:rsid w:val="002E6AC3"/>
    <w:rsid w:val="002E7DAE"/>
    <w:rsid w:val="002F0194"/>
    <w:rsid w:val="002F1C93"/>
    <w:rsid w:val="002F1F74"/>
    <w:rsid w:val="002F2BB2"/>
    <w:rsid w:val="002F30B3"/>
    <w:rsid w:val="002F4070"/>
    <w:rsid w:val="002F48A4"/>
    <w:rsid w:val="002F57A2"/>
    <w:rsid w:val="002F62D9"/>
    <w:rsid w:val="002F6659"/>
    <w:rsid w:val="002F7925"/>
    <w:rsid w:val="002F7B56"/>
    <w:rsid w:val="00300E10"/>
    <w:rsid w:val="00301B8F"/>
    <w:rsid w:val="00303380"/>
    <w:rsid w:val="003039B5"/>
    <w:rsid w:val="00303BC3"/>
    <w:rsid w:val="00304018"/>
    <w:rsid w:val="00305D4D"/>
    <w:rsid w:val="00306023"/>
    <w:rsid w:val="003060A6"/>
    <w:rsid w:val="00307566"/>
    <w:rsid w:val="00307787"/>
    <w:rsid w:val="00310907"/>
    <w:rsid w:val="00310B3D"/>
    <w:rsid w:val="00310C0C"/>
    <w:rsid w:val="00313B50"/>
    <w:rsid w:val="00314085"/>
    <w:rsid w:val="0031442A"/>
    <w:rsid w:val="003147E3"/>
    <w:rsid w:val="003155AD"/>
    <w:rsid w:val="00315A10"/>
    <w:rsid w:val="00315AA5"/>
    <w:rsid w:val="00315AF4"/>
    <w:rsid w:val="003162DB"/>
    <w:rsid w:val="003175E9"/>
    <w:rsid w:val="003208E2"/>
    <w:rsid w:val="003209E1"/>
    <w:rsid w:val="00320A8A"/>
    <w:rsid w:val="00320B6D"/>
    <w:rsid w:val="003210DE"/>
    <w:rsid w:val="00321218"/>
    <w:rsid w:val="00322292"/>
    <w:rsid w:val="0032319E"/>
    <w:rsid w:val="003231D0"/>
    <w:rsid w:val="0032427E"/>
    <w:rsid w:val="00324AFC"/>
    <w:rsid w:val="00325800"/>
    <w:rsid w:val="003263EF"/>
    <w:rsid w:val="003266F6"/>
    <w:rsid w:val="003268BB"/>
    <w:rsid w:val="003279AA"/>
    <w:rsid w:val="00327B90"/>
    <w:rsid w:val="00327E9B"/>
    <w:rsid w:val="00331C41"/>
    <w:rsid w:val="003330BB"/>
    <w:rsid w:val="003335EE"/>
    <w:rsid w:val="003337F4"/>
    <w:rsid w:val="00333A04"/>
    <w:rsid w:val="00333B75"/>
    <w:rsid w:val="00333F23"/>
    <w:rsid w:val="0033482D"/>
    <w:rsid w:val="00335388"/>
    <w:rsid w:val="0033597A"/>
    <w:rsid w:val="00335B8F"/>
    <w:rsid w:val="003370B5"/>
    <w:rsid w:val="003372F3"/>
    <w:rsid w:val="00337C79"/>
    <w:rsid w:val="00337D43"/>
    <w:rsid w:val="00340021"/>
    <w:rsid w:val="00340D66"/>
    <w:rsid w:val="00340FE6"/>
    <w:rsid w:val="003415BE"/>
    <w:rsid w:val="00342198"/>
    <w:rsid w:val="003428D7"/>
    <w:rsid w:val="003429A0"/>
    <w:rsid w:val="00343315"/>
    <w:rsid w:val="00343749"/>
    <w:rsid w:val="0034475E"/>
    <w:rsid w:val="00344825"/>
    <w:rsid w:val="003451CE"/>
    <w:rsid w:val="003457D4"/>
    <w:rsid w:val="003466D0"/>
    <w:rsid w:val="003467FE"/>
    <w:rsid w:val="00350CCD"/>
    <w:rsid w:val="0035192B"/>
    <w:rsid w:val="00355000"/>
    <w:rsid w:val="00355AC8"/>
    <w:rsid w:val="00355B3D"/>
    <w:rsid w:val="003560E3"/>
    <w:rsid w:val="003603D5"/>
    <w:rsid w:val="00360519"/>
    <w:rsid w:val="0036088F"/>
    <w:rsid w:val="00361167"/>
    <w:rsid w:val="003613F8"/>
    <w:rsid w:val="00361A04"/>
    <w:rsid w:val="00361E19"/>
    <w:rsid w:val="00361E52"/>
    <w:rsid w:val="0036235D"/>
    <w:rsid w:val="00362471"/>
    <w:rsid w:val="0036256B"/>
    <w:rsid w:val="003629B1"/>
    <w:rsid w:val="003630BC"/>
    <w:rsid w:val="00364119"/>
    <w:rsid w:val="0036426B"/>
    <w:rsid w:val="00364A11"/>
    <w:rsid w:val="00364EBF"/>
    <w:rsid w:val="00365C46"/>
    <w:rsid w:val="00365DE4"/>
    <w:rsid w:val="00365E43"/>
    <w:rsid w:val="00367565"/>
    <w:rsid w:val="0037067B"/>
    <w:rsid w:val="00370736"/>
    <w:rsid w:val="003709F0"/>
    <w:rsid w:val="00371881"/>
    <w:rsid w:val="0037252B"/>
    <w:rsid w:val="00372E19"/>
    <w:rsid w:val="00373D99"/>
    <w:rsid w:val="00373F90"/>
    <w:rsid w:val="00374436"/>
    <w:rsid w:val="00374988"/>
    <w:rsid w:val="00374AA6"/>
    <w:rsid w:val="00375456"/>
    <w:rsid w:val="00375F81"/>
    <w:rsid w:val="003760B9"/>
    <w:rsid w:val="00376A42"/>
    <w:rsid w:val="00376E70"/>
    <w:rsid w:val="00377DDA"/>
    <w:rsid w:val="00377E76"/>
    <w:rsid w:val="00380668"/>
    <w:rsid w:val="003812D0"/>
    <w:rsid w:val="00381D40"/>
    <w:rsid w:val="00381FBC"/>
    <w:rsid w:val="0038246F"/>
    <w:rsid w:val="00382E43"/>
    <w:rsid w:val="0038339E"/>
    <w:rsid w:val="003833B5"/>
    <w:rsid w:val="00383AF6"/>
    <w:rsid w:val="00383BCF"/>
    <w:rsid w:val="00384DBE"/>
    <w:rsid w:val="003862D8"/>
    <w:rsid w:val="003863FC"/>
    <w:rsid w:val="00386418"/>
    <w:rsid w:val="00386AD2"/>
    <w:rsid w:val="00387050"/>
    <w:rsid w:val="003875E3"/>
    <w:rsid w:val="00387B1C"/>
    <w:rsid w:val="00387C52"/>
    <w:rsid w:val="00387D6C"/>
    <w:rsid w:val="0039081B"/>
    <w:rsid w:val="00390BA5"/>
    <w:rsid w:val="00391517"/>
    <w:rsid w:val="003916E4"/>
    <w:rsid w:val="0039227D"/>
    <w:rsid w:val="00392C08"/>
    <w:rsid w:val="003939FF"/>
    <w:rsid w:val="00393A6C"/>
    <w:rsid w:val="00393A87"/>
    <w:rsid w:val="00394215"/>
    <w:rsid w:val="00394391"/>
    <w:rsid w:val="00394DA1"/>
    <w:rsid w:val="00394E74"/>
    <w:rsid w:val="0039559E"/>
    <w:rsid w:val="0039567A"/>
    <w:rsid w:val="00395D9B"/>
    <w:rsid w:val="003961C6"/>
    <w:rsid w:val="00396CB0"/>
    <w:rsid w:val="003A02CA"/>
    <w:rsid w:val="003A1203"/>
    <w:rsid w:val="003A15EE"/>
    <w:rsid w:val="003A19B1"/>
    <w:rsid w:val="003A1D41"/>
    <w:rsid w:val="003A271D"/>
    <w:rsid w:val="003A2A43"/>
    <w:rsid w:val="003A3514"/>
    <w:rsid w:val="003A45AC"/>
    <w:rsid w:val="003A4D6C"/>
    <w:rsid w:val="003A4E23"/>
    <w:rsid w:val="003A52E8"/>
    <w:rsid w:val="003A5D01"/>
    <w:rsid w:val="003A65D4"/>
    <w:rsid w:val="003A6BD7"/>
    <w:rsid w:val="003A7756"/>
    <w:rsid w:val="003A7BF2"/>
    <w:rsid w:val="003B0270"/>
    <w:rsid w:val="003B2210"/>
    <w:rsid w:val="003B293A"/>
    <w:rsid w:val="003B3B84"/>
    <w:rsid w:val="003B3C37"/>
    <w:rsid w:val="003B405D"/>
    <w:rsid w:val="003B421C"/>
    <w:rsid w:val="003B4448"/>
    <w:rsid w:val="003B4761"/>
    <w:rsid w:val="003B4D3D"/>
    <w:rsid w:val="003B4DCE"/>
    <w:rsid w:val="003B63DB"/>
    <w:rsid w:val="003B6CD3"/>
    <w:rsid w:val="003B75FE"/>
    <w:rsid w:val="003C08B6"/>
    <w:rsid w:val="003C1C29"/>
    <w:rsid w:val="003C3452"/>
    <w:rsid w:val="003C3B9D"/>
    <w:rsid w:val="003C3FC3"/>
    <w:rsid w:val="003C41E9"/>
    <w:rsid w:val="003C4ABA"/>
    <w:rsid w:val="003C4EB9"/>
    <w:rsid w:val="003C5E0A"/>
    <w:rsid w:val="003C6938"/>
    <w:rsid w:val="003C6BFF"/>
    <w:rsid w:val="003C6E69"/>
    <w:rsid w:val="003C7172"/>
    <w:rsid w:val="003C733A"/>
    <w:rsid w:val="003C77E6"/>
    <w:rsid w:val="003C7F17"/>
    <w:rsid w:val="003D0C47"/>
    <w:rsid w:val="003D27C3"/>
    <w:rsid w:val="003D3825"/>
    <w:rsid w:val="003D3C73"/>
    <w:rsid w:val="003D487C"/>
    <w:rsid w:val="003D562A"/>
    <w:rsid w:val="003D5BCD"/>
    <w:rsid w:val="003D6388"/>
    <w:rsid w:val="003D6396"/>
    <w:rsid w:val="003D7842"/>
    <w:rsid w:val="003D7D43"/>
    <w:rsid w:val="003D7DF2"/>
    <w:rsid w:val="003E02ED"/>
    <w:rsid w:val="003E0B1B"/>
    <w:rsid w:val="003E170E"/>
    <w:rsid w:val="003E19AF"/>
    <w:rsid w:val="003E289C"/>
    <w:rsid w:val="003E29A5"/>
    <w:rsid w:val="003E2CE5"/>
    <w:rsid w:val="003E2DE4"/>
    <w:rsid w:val="003E359D"/>
    <w:rsid w:val="003E3A27"/>
    <w:rsid w:val="003E48E1"/>
    <w:rsid w:val="003E59BF"/>
    <w:rsid w:val="003F0DA0"/>
    <w:rsid w:val="003F309C"/>
    <w:rsid w:val="003F3110"/>
    <w:rsid w:val="003F33D6"/>
    <w:rsid w:val="003F350C"/>
    <w:rsid w:val="003F3529"/>
    <w:rsid w:val="003F3D0E"/>
    <w:rsid w:val="003F3F1D"/>
    <w:rsid w:val="003F410A"/>
    <w:rsid w:val="003F49CC"/>
    <w:rsid w:val="003F4A6C"/>
    <w:rsid w:val="003F4F4B"/>
    <w:rsid w:val="003F56BE"/>
    <w:rsid w:val="003F5928"/>
    <w:rsid w:val="003F65BE"/>
    <w:rsid w:val="003F6B2F"/>
    <w:rsid w:val="003F7025"/>
    <w:rsid w:val="00402BBC"/>
    <w:rsid w:val="004032AA"/>
    <w:rsid w:val="004032F5"/>
    <w:rsid w:val="00403E9F"/>
    <w:rsid w:val="00403F4F"/>
    <w:rsid w:val="00404D5B"/>
    <w:rsid w:val="00404E9C"/>
    <w:rsid w:val="00405136"/>
    <w:rsid w:val="0040602B"/>
    <w:rsid w:val="004061D9"/>
    <w:rsid w:val="004061E5"/>
    <w:rsid w:val="00407170"/>
    <w:rsid w:val="004075D9"/>
    <w:rsid w:val="0040764B"/>
    <w:rsid w:val="00410082"/>
    <w:rsid w:val="00410DA2"/>
    <w:rsid w:val="004111CE"/>
    <w:rsid w:val="00411FBA"/>
    <w:rsid w:val="00414C95"/>
    <w:rsid w:val="00414C99"/>
    <w:rsid w:val="004152F7"/>
    <w:rsid w:val="0041647A"/>
    <w:rsid w:val="004205B9"/>
    <w:rsid w:val="004206DD"/>
    <w:rsid w:val="004207E0"/>
    <w:rsid w:val="004208DB"/>
    <w:rsid w:val="004219EA"/>
    <w:rsid w:val="00422044"/>
    <w:rsid w:val="00423558"/>
    <w:rsid w:val="00424818"/>
    <w:rsid w:val="00424B31"/>
    <w:rsid w:val="00424F3D"/>
    <w:rsid w:val="004254E0"/>
    <w:rsid w:val="004262D2"/>
    <w:rsid w:val="004262E9"/>
    <w:rsid w:val="00426387"/>
    <w:rsid w:val="00426CCB"/>
    <w:rsid w:val="00426F2A"/>
    <w:rsid w:val="00427FDD"/>
    <w:rsid w:val="004300B5"/>
    <w:rsid w:val="00430619"/>
    <w:rsid w:val="00431129"/>
    <w:rsid w:val="004316D0"/>
    <w:rsid w:val="004317F1"/>
    <w:rsid w:val="00432077"/>
    <w:rsid w:val="00432510"/>
    <w:rsid w:val="00433A09"/>
    <w:rsid w:val="004361C2"/>
    <w:rsid w:val="00436399"/>
    <w:rsid w:val="00436D71"/>
    <w:rsid w:val="004408BC"/>
    <w:rsid w:val="00440C90"/>
    <w:rsid w:val="0044149F"/>
    <w:rsid w:val="00442868"/>
    <w:rsid w:val="0044296A"/>
    <w:rsid w:val="004437A1"/>
    <w:rsid w:val="00444B4B"/>
    <w:rsid w:val="004452D2"/>
    <w:rsid w:val="00447209"/>
    <w:rsid w:val="00447478"/>
    <w:rsid w:val="004519C5"/>
    <w:rsid w:val="00452615"/>
    <w:rsid w:val="00452DFD"/>
    <w:rsid w:val="00452E56"/>
    <w:rsid w:val="004534DE"/>
    <w:rsid w:val="00453542"/>
    <w:rsid w:val="00455495"/>
    <w:rsid w:val="004555EF"/>
    <w:rsid w:val="00455C7B"/>
    <w:rsid w:val="0045621B"/>
    <w:rsid w:val="00457843"/>
    <w:rsid w:val="004603CC"/>
    <w:rsid w:val="004610D8"/>
    <w:rsid w:val="00462588"/>
    <w:rsid w:val="00462898"/>
    <w:rsid w:val="00463303"/>
    <w:rsid w:val="00464008"/>
    <w:rsid w:val="004647D9"/>
    <w:rsid w:val="004655A5"/>
    <w:rsid w:val="00465C04"/>
    <w:rsid w:val="004666F1"/>
    <w:rsid w:val="00466F05"/>
    <w:rsid w:val="00467013"/>
    <w:rsid w:val="00470494"/>
    <w:rsid w:val="00470DA1"/>
    <w:rsid w:val="00471156"/>
    <w:rsid w:val="00471348"/>
    <w:rsid w:val="004713DD"/>
    <w:rsid w:val="00471EFE"/>
    <w:rsid w:val="00472051"/>
    <w:rsid w:val="00472665"/>
    <w:rsid w:val="00473510"/>
    <w:rsid w:val="00473867"/>
    <w:rsid w:val="00473CBF"/>
    <w:rsid w:val="004742FA"/>
    <w:rsid w:val="004747E9"/>
    <w:rsid w:val="0047493E"/>
    <w:rsid w:val="00475093"/>
    <w:rsid w:val="0047598A"/>
    <w:rsid w:val="00475ADB"/>
    <w:rsid w:val="00476159"/>
    <w:rsid w:val="0047654C"/>
    <w:rsid w:val="00476720"/>
    <w:rsid w:val="00476933"/>
    <w:rsid w:val="00477B31"/>
    <w:rsid w:val="004807D1"/>
    <w:rsid w:val="00480861"/>
    <w:rsid w:val="00482035"/>
    <w:rsid w:val="00482696"/>
    <w:rsid w:val="0048270C"/>
    <w:rsid w:val="0048293F"/>
    <w:rsid w:val="004830C4"/>
    <w:rsid w:val="00483F1B"/>
    <w:rsid w:val="00484970"/>
    <w:rsid w:val="00484B9D"/>
    <w:rsid w:val="00485BE2"/>
    <w:rsid w:val="004863AA"/>
    <w:rsid w:val="004863E7"/>
    <w:rsid w:val="004866E3"/>
    <w:rsid w:val="00486CEF"/>
    <w:rsid w:val="00486DB5"/>
    <w:rsid w:val="004877B3"/>
    <w:rsid w:val="004878AF"/>
    <w:rsid w:val="00487CE9"/>
    <w:rsid w:val="00487FC1"/>
    <w:rsid w:val="00490262"/>
    <w:rsid w:val="00490907"/>
    <w:rsid w:val="00490B21"/>
    <w:rsid w:val="0049119F"/>
    <w:rsid w:val="00491542"/>
    <w:rsid w:val="00492058"/>
    <w:rsid w:val="00493528"/>
    <w:rsid w:val="00493803"/>
    <w:rsid w:val="00493CA6"/>
    <w:rsid w:val="00493E72"/>
    <w:rsid w:val="004941B7"/>
    <w:rsid w:val="00494AF9"/>
    <w:rsid w:val="004956AB"/>
    <w:rsid w:val="0049592F"/>
    <w:rsid w:val="00495D7A"/>
    <w:rsid w:val="00495E01"/>
    <w:rsid w:val="00495FDB"/>
    <w:rsid w:val="004969A2"/>
    <w:rsid w:val="0049734B"/>
    <w:rsid w:val="00497560"/>
    <w:rsid w:val="0049775B"/>
    <w:rsid w:val="004A0439"/>
    <w:rsid w:val="004A05C4"/>
    <w:rsid w:val="004A0849"/>
    <w:rsid w:val="004A1472"/>
    <w:rsid w:val="004A2139"/>
    <w:rsid w:val="004A39B1"/>
    <w:rsid w:val="004A4300"/>
    <w:rsid w:val="004A4C01"/>
    <w:rsid w:val="004A520A"/>
    <w:rsid w:val="004A634D"/>
    <w:rsid w:val="004A642E"/>
    <w:rsid w:val="004A6D62"/>
    <w:rsid w:val="004B0F14"/>
    <w:rsid w:val="004B1AEB"/>
    <w:rsid w:val="004B2012"/>
    <w:rsid w:val="004B3590"/>
    <w:rsid w:val="004B482F"/>
    <w:rsid w:val="004B4AF0"/>
    <w:rsid w:val="004B5E0F"/>
    <w:rsid w:val="004B67E9"/>
    <w:rsid w:val="004C039F"/>
    <w:rsid w:val="004C067A"/>
    <w:rsid w:val="004C0D12"/>
    <w:rsid w:val="004C11D9"/>
    <w:rsid w:val="004C2B1C"/>
    <w:rsid w:val="004C3121"/>
    <w:rsid w:val="004C3D69"/>
    <w:rsid w:val="004C488C"/>
    <w:rsid w:val="004C4920"/>
    <w:rsid w:val="004C4A1B"/>
    <w:rsid w:val="004C5893"/>
    <w:rsid w:val="004C5AD1"/>
    <w:rsid w:val="004C6A9D"/>
    <w:rsid w:val="004C6CA0"/>
    <w:rsid w:val="004C700A"/>
    <w:rsid w:val="004C74E1"/>
    <w:rsid w:val="004C7B35"/>
    <w:rsid w:val="004D0277"/>
    <w:rsid w:val="004D0749"/>
    <w:rsid w:val="004D0CFF"/>
    <w:rsid w:val="004D103B"/>
    <w:rsid w:val="004D1352"/>
    <w:rsid w:val="004D13F8"/>
    <w:rsid w:val="004D34F8"/>
    <w:rsid w:val="004D438F"/>
    <w:rsid w:val="004D4DF5"/>
    <w:rsid w:val="004D51E9"/>
    <w:rsid w:val="004D6B68"/>
    <w:rsid w:val="004E0AD5"/>
    <w:rsid w:val="004E28F7"/>
    <w:rsid w:val="004E4249"/>
    <w:rsid w:val="004E4ED1"/>
    <w:rsid w:val="004E7A6E"/>
    <w:rsid w:val="004E7C3A"/>
    <w:rsid w:val="004F0B94"/>
    <w:rsid w:val="004F1122"/>
    <w:rsid w:val="004F115A"/>
    <w:rsid w:val="004F34BA"/>
    <w:rsid w:val="004F3BF3"/>
    <w:rsid w:val="004F4B12"/>
    <w:rsid w:val="004F4C69"/>
    <w:rsid w:val="004F4EAD"/>
    <w:rsid w:val="004F513E"/>
    <w:rsid w:val="004F5653"/>
    <w:rsid w:val="004F6FFE"/>
    <w:rsid w:val="004F7295"/>
    <w:rsid w:val="004F7D74"/>
    <w:rsid w:val="00500E13"/>
    <w:rsid w:val="0050114E"/>
    <w:rsid w:val="00503100"/>
    <w:rsid w:val="00503293"/>
    <w:rsid w:val="00503A10"/>
    <w:rsid w:val="00504F29"/>
    <w:rsid w:val="00506D76"/>
    <w:rsid w:val="00507020"/>
    <w:rsid w:val="00507213"/>
    <w:rsid w:val="00507A89"/>
    <w:rsid w:val="00507BE0"/>
    <w:rsid w:val="0051047B"/>
    <w:rsid w:val="00510692"/>
    <w:rsid w:val="00510728"/>
    <w:rsid w:val="0051155B"/>
    <w:rsid w:val="00512712"/>
    <w:rsid w:val="00513590"/>
    <w:rsid w:val="0051416F"/>
    <w:rsid w:val="00515CA0"/>
    <w:rsid w:val="005162A6"/>
    <w:rsid w:val="005167FE"/>
    <w:rsid w:val="00516A20"/>
    <w:rsid w:val="00516F52"/>
    <w:rsid w:val="00517219"/>
    <w:rsid w:val="005177AA"/>
    <w:rsid w:val="00517867"/>
    <w:rsid w:val="00517954"/>
    <w:rsid w:val="00517D62"/>
    <w:rsid w:val="00521971"/>
    <w:rsid w:val="0052238D"/>
    <w:rsid w:val="0052300E"/>
    <w:rsid w:val="00523CD9"/>
    <w:rsid w:val="00524ADD"/>
    <w:rsid w:val="0052597D"/>
    <w:rsid w:val="00525FE8"/>
    <w:rsid w:val="00526193"/>
    <w:rsid w:val="00526916"/>
    <w:rsid w:val="0052691A"/>
    <w:rsid w:val="00527B4F"/>
    <w:rsid w:val="00531089"/>
    <w:rsid w:val="00531508"/>
    <w:rsid w:val="00531E19"/>
    <w:rsid w:val="00531F08"/>
    <w:rsid w:val="005324F2"/>
    <w:rsid w:val="00534275"/>
    <w:rsid w:val="005342DC"/>
    <w:rsid w:val="00534738"/>
    <w:rsid w:val="00534AB2"/>
    <w:rsid w:val="005358FE"/>
    <w:rsid w:val="00535AD5"/>
    <w:rsid w:val="005366A9"/>
    <w:rsid w:val="005374B9"/>
    <w:rsid w:val="005374DB"/>
    <w:rsid w:val="0054056E"/>
    <w:rsid w:val="0054141A"/>
    <w:rsid w:val="005417CD"/>
    <w:rsid w:val="00541A54"/>
    <w:rsid w:val="005440D1"/>
    <w:rsid w:val="00545614"/>
    <w:rsid w:val="00545962"/>
    <w:rsid w:val="00545E88"/>
    <w:rsid w:val="005462FD"/>
    <w:rsid w:val="00546363"/>
    <w:rsid w:val="00546CC3"/>
    <w:rsid w:val="005470FE"/>
    <w:rsid w:val="0054764D"/>
    <w:rsid w:val="0054773F"/>
    <w:rsid w:val="005477B9"/>
    <w:rsid w:val="00547AE6"/>
    <w:rsid w:val="00547D0D"/>
    <w:rsid w:val="00547F02"/>
    <w:rsid w:val="00550689"/>
    <w:rsid w:val="00550B87"/>
    <w:rsid w:val="005514EA"/>
    <w:rsid w:val="00551D8A"/>
    <w:rsid w:val="005522A3"/>
    <w:rsid w:val="00552BD3"/>
    <w:rsid w:val="0055356C"/>
    <w:rsid w:val="0055385A"/>
    <w:rsid w:val="00554E26"/>
    <w:rsid w:val="005553D7"/>
    <w:rsid w:val="0055721C"/>
    <w:rsid w:val="00557501"/>
    <w:rsid w:val="005576CD"/>
    <w:rsid w:val="00557BE8"/>
    <w:rsid w:val="005603B3"/>
    <w:rsid w:val="005605C0"/>
    <w:rsid w:val="0056097B"/>
    <w:rsid w:val="00560AF2"/>
    <w:rsid w:val="00561A91"/>
    <w:rsid w:val="00561ACB"/>
    <w:rsid w:val="00561D2A"/>
    <w:rsid w:val="00561DE6"/>
    <w:rsid w:val="00561E0D"/>
    <w:rsid w:val="00562435"/>
    <w:rsid w:val="00562900"/>
    <w:rsid w:val="00562A10"/>
    <w:rsid w:val="0056347B"/>
    <w:rsid w:val="00563BAF"/>
    <w:rsid w:val="00564D6D"/>
    <w:rsid w:val="00565096"/>
    <w:rsid w:val="0056584E"/>
    <w:rsid w:val="005658B0"/>
    <w:rsid w:val="00565D8E"/>
    <w:rsid w:val="005662A8"/>
    <w:rsid w:val="005665EC"/>
    <w:rsid w:val="00566B5A"/>
    <w:rsid w:val="00566E65"/>
    <w:rsid w:val="0056734F"/>
    <w:rsid w:val="005675B7"/>
    <w:rsid w:val="0056766B"/>
    <w:rsid w:val="005676DB"/>
    <w:rsid w:val="0056799A"/>
    <w:rsid w:val="00570F75"/>
    <w:rsid w:val="0057128C"/>
    <w:rsid w:val="00571990"/>
    <w:rsid w:val="00572397"/>
    <w:rsid w:val="00572613"/>
    <w:rsid w:val="00572EF6"/>
    <w:rsid w:val="00573D27"/>
    <w:rsid w:val="0057459A"/>
    <w:rsid w:val="005749E7"/>
    <w:rsid w:val="00575FEB"/>
    <w:rsid w:val="00576587"/>
    <w:rsid w:val="00576CDC"/>
    <w:rsid w:val="00577A22"/>
    <w:rsid w:val="00577A8F"/>
    <w:rsid w:val="00580101"/>
    <w:rsid w:val="00580909"/>
    <w:rsid w:val="00580EC8"/>
    <w:rsid w:val="005824FA"/>
    <w:rsid w:val="00582BA8"/>
    <w:rsid w:val="00583DCB"/>
    <w:rsid w:val="00584C6F"/>
    <w:rsid w:val="005865ED"/>
    <w:rsid w:val="005879E7"/>
    <w:rsid w:val="00587F9C"/>
    <w:rsid w:val="00590C54"/>
    <w:rsid w:val="00590D7A"/>
    <w:rsid w:val="00591890"/>
    <w:rsid w:val="00591988"/>
    <w:rsid w:val="00592732"/>
    <w:rsid w:val="00592946"/>
    <w:rsid w:val="00593552"/>
    <w:rsid w:val="00593611"/>
    <w:rsid w:val="00593BB7"/>
    <w:rsid w:val="00593F93"/>
    <w:rsid w:val="00594D88"/>
    <w:rsid w:val="005955DA"/>
    <w:rsid w:val="005957FD"/>
    <w:rsid w:val="00595C87"/>
    <w:rsid w:val="0059682A"/>
    <w:rsid w:val="0059760F"/>
    <w:rsid w:val="005A07CE"/>
    <w:rsid w:val="005A0DD3"/>
    <w:rsid w:val="005A181D"/>
    <w:rsid w:val="005A214D"/>
    <w:rsid w:val="005A21F2"/>
    <w:rsid w:val="005A3773"/>
    <w:rsid w:val="005A37B9"/>
    <w:rsid w:val="005A4B2D"/>
    <w:rsid w:val="005A573A"/>
    <w:rsid w:val="005A5B5E"/>
    <w:rsid w:val="005A5D96"/>
    <w:rsid w:val="005A6801"/>
    <w:rsid w:val="005A6C38"/>
    <w:rsid w:val="005B00B0"/>
    <w:rsid w:val="005B22A0"/>
    <w:rsid w:val="005B26FF"/>
    <w:rsid w:val="005B2B1B"/>
    <w:rsid w:val="005B36DE"/>
    <w:rsid w:val="005B3B74"/>
    <w:rsid w:val="005B3EA4"/>
    <w:rsid w:val="005B43A8"/>
    <w:rsid w:val="005B4883"/>
    <w:rsid w:val="005B5352"/>
    <w:rsid w:val="005B540A"/>
    <w:rsid w:val="005B570E"/>
    <w:rsid w:val="005B5D51"/>
    <w:rsid w:val="005B60FA"/>
    <w:rsid w:val="005B67C8"/>
    <w:rsid w:val="005C0969"/>
    <w:rsid w:val="005C1118"/>
    <w:rsid w:val="005C180F"/>
    <w:rsid w:val="005C2468"/>
    <w:rsid w:val="005C2986"/>
    <w:rsid w:val="005C2BAD"/>
    <w:rsid w:val="005C2CE4"/>
    <w:rsid w:val="005C2E69"/>
    <w:rsid w:val="005C3613"/>
    <w:rsid w:val="005C36B0"/>
    <w:rsid w:val="005C40C7"/>
    <w:rsid w:val="005C412B"/>
    <w:rsid w:val="005C45BA"/>
    <w:rsid w:val="005C56DA"/>
    <w:rsid w:val="005C64E0"/>
    <w:rsid w:val="005C6CA6"/>
    <w:rsid w:val="005C7578"/>
    <w:rsid w:val="005C76BB"/>
    <w:rsid w:val="005D0467"/>
    <w:rsid w:val="005D04E3"/>
    <w:rsid w:val="005D05A4"/>
    <w:rsid w:val="005D14F7"/>
    <w:rsid w:val="005D28C3"/>
    <w:rsid w:val="005D3B65"/>
    <w:rsid w:val="005D3C1D"/>
    <w:rsid w:val="005D44B3"/>
    <w:rsid w:val="005D47B5"/>
    <w:rsid w:val="005D689F"/>
    <w:rsid w:val="005E0977"/>
    <w:rsid w:val="005E1145"/>
    <w:rsid w:val="005E1396"/>
    <w:rsid w:val="005E1478"/>
    <w:rsid w:val="005E309C"/>
    <w:rsid w:val="005E3437"/>
    <w:rsid w:val="005E3550"/>
    <w:rsid w:val="005E3B2D"/>
    <w:rsid w:val="005E4312"/>
    <w:rsid w:val="005E51E7"/>
    <w:rsid w:val="005E5BB9"/>
    <w:rsid w:val="005E600B"/>
    <w:rsid w:val="005E7BC3"/>
    <w:rsid w:val="005F1085"/>
    <w:rsid w:val="005F2613"/>
    <w:rsid w:val="005F319A"/>
    <w:rsid w:val="005F3446"/>
    <w:rsid w:val="005F34F2"/>
    <w:rsid w:val="005F374C"/>
    <w:rsid w:val="005F3C05"/>
    <w:rsid w:val="005F4171"/>
    <w:rsid w:val="005F46F2"/>
    <w:rsid w:val="005F5F01"/>
    <w:rsid w:val="005F60F0"/>
    <w:rsid w:val="005F646D"/>
    <w:rsid w:val="005F6605"/>
    <w:rsid w:val="005F6C7D"/>
    <w:rsid w:val="005F6F0F"/>
    <w:rsid w:val="005F6F86"/>
    <w:rsid w:val="005F74D0"/>
    <w:rsid w:val="005F7FF6"/>
    <w:rsid w:val="00600474"/>
    <w:rsid w:val="006012DF"/>
    <w:rsid w:val="00601919"/>
    <w:rsid w:val="00601DA6"/>
    <w:rsid w:val="00601E54"/>
    <w:rsid w:val="00602066"/>
    <w:rsid w:val="006027F9"/>
    <w:rsid w:val="00602FC2"/>
    <w:rsid w:val="006033EF"/>
    <w:rsid w:val="00604919"/>
    <w:rsid w:val="0060517B"/>
    <w:rsid w:val="00605EF4"/>
    <w:rsid w:val="00606A46"/>
    <w:rsid w:val="00611E3D"/>
    <w:rsid w:val="00612499"/>
    <w:rsid w:val="006124E4"/>
    <w:rsid w:val="00614105"/>
    <w:rsid w:val="0061418D"/>
    <w:rsid w:val="006143E6"/>
    <w:rsid w:val="00615B37"/>
    <w:rsid w:val="00615DB8"/>
    <w:rsid w:val="00615EF6"/>
    <w:rsid w:val="006166B8"/>
    <w:rsid w:val="00616BA7"/>
    <w:rsid w:val="00616E2A"/>
    <w:rsid w:val="00620E98"/>
    <w:rsid w:val="00621256"/>
    <w:rsid w:val="0062284B"/>
    <w:rsid w:val="00623BEA"/>
    <w:rsid w:val="0062559D"/>
    <w:rsid w:val="00625831"/>
    <w:rsid w:val="00625F2F"/>
    <w:rsid w:val="00632619"/>
    <w:rsid w:val="00633997"/>
    <w:rsid w:val="00633EB5"/>
    <w:rsid w:val="00633FB7"/>
    <w:rsid w:val="00634B03"/>
    <w:rsid w:val="00634FE0"/>
    <w:rsid w:val="00636218"/>
    <w:rsid w:val="006362F6"/>
    <w:rsid w:val="006371FC"/>
    <w:rsid w:val="0063769C"/>
    <w:rsid w:val="00637766"/>
    <w:rsid w:val="006379ED"/>
    <w:rsid w:val="00637B79"/>
    <w:rsid w:val="00640230"/>
    <w:rsid w:val="006414EF"/>
    <w:rsid w:val="006415C4"/>
    <w:rsid w:val="00641F8A"/>
    <w:rsid w:val="00642021"/>
    <w:rsid w:val="006425DD"/>
    <w:rsid w:val="006426D8"/>
    <w:rsid w:val="00643411"/>
    <w:rsid w:val="00643F9F"/>
    <w:rsid w:val="00644CFA"/>
    <w:rsid w:val="00644D2A"/>
    <w:rsid w:val="00645925"/>
    <w:rsid w:val="00645D25"/>
    <w:rsid w:val="006460E3"/>
    <w:rsid w:val="0064675C"/>
    <w:rsid w:val="006467D6"/>
    <w:rsid w:val="00646B26"/>
    <w:rsid w:val="00646CB4"/>
    <w:rsid w:val="006476BE"/>
    <w:rsid w:val="006502CD"/>
    <w:rsid w:val="00650803"/>
    <w:rsid w:val="006510F6"/>
    <w:rsid w:val="0065151E"/>
    <w:rsid w:val="0065177C"/>
    <w:rsid w:val="00651BB4"/>
    <w:rsid w:val="00652D57"/>
    <w:rsid w:val="00653A46"/>
    <w:rsid w:val="00653F23"/>
    <w:rsid w:val="00654B47"/>
    <w:rsid w:val="00654E2A"/>
    <w:rsid w:val="00656C68"/>
    <w:rsid w:val="006573B6"/>
    <w:rsid w:val="00657AC6"/>
    <w:rsid w:val="006605CE"/>
    <w:rsid w:val="00661252"/>
    <w:rsid w:val="00661DA7"/>
    <w:rsid w:val="00661ECD"/>
    <w:rsid w:val="0066393F"/>
    <w:rsid w:val="00663E3B"/>
    <w:rsid w:val="0066518E"/>
    <w:rsid w:val="00665A4C"/>
    <w:rsid w:val="00665F9F"/>
    <w:rsid w:val="006664F0"/>
    <w:rsid w:val="00666D3B"/>
    <w:rsid w:val="00666E15"/>
    <w:rsid w:val="006673F5"/>
    <w:rsid w:val="006677CA"/>
    <w:rsid w:val="006679D6"/>
    <w:rsid w:val="0067012E"/>
    <w:rsid w:val="0067065B"/>
    <w:rsid w:val="00671E13"/>
    <w:rsid w:val="00672205"/>
    <w:rsid w:val="00672EAF"/>
    <w:rsid w:val="00672FBF"/>
    <w:rsid w:val="0067303F"/>
    <w:rsid w:val="0067368A"/>
    <w:rsid w:val="00673797"/>
    <w:rsid w:val="00674F0D"/>
    <w:rsid w:val="00675F8E"/>
    <w:rsid w:val="00676C31"/>
    <w:rsid w:val="00677110"/>
    <w:rsid w:val="00677197"/>
    <w:rsid w:val="0067774A"/>
    <w:rsid w:val="00677C29"/>
    <w:rsid w:val="00680474"/>
    <w:rsid w:val="006805EA"/>
    <w:rsid w:val="00681B0E"/>
    <w:rsid w:val="006824D7"/>
    <w:rsid w:val="006824F5"/>
    <w:rsid w:val="00682A23"/>
    <w:rsid w:val="006833EC"/>
    <w:rsid w:val="006834CF"/>
    <w:rsid w:val="00684CB0"/>
    <w:rsid w:val="00684FFD"/>
    <w:rsid w:val="00684FFF"/>
    <w:rsid w:val="006859A5"/>
    <w:rsid w:val="00686069"/>
    <w:rsid w:val="00686937"/>
    <w:rsid w:val="00686AB8"/>
    <w:rsid w:val="006877BC"/>
    <w:rsid w:val="00687C49"/>
    <w:rsid w:val="00690045"/>
    <w:rsid w:val="00691E77"/>
    <w:rsid w:val="00695151"/>
    <w:rsid w:val="00695921"/>
    <w:rsid w:val="0069683D"/>
    <w:rsid w:val="00696858"/>
    <w:rsid w:val="00696F4B"/>
    <w:rsid w:val="00697730"/>
    <w:rsid w:val="00697A5A"/>
    <w:rsid w:val="00697D23"/>
    <w:rsid w:val="006A098C"/>
    <w:rsid w:val="006A1A30"/>
    <w:rsid w:val="006A1B07"/>
    <w:rsid w:val="006A1D53"/>
    <w:rsid w:val="006A1EAB"/>
    <w:rsid w:val="006A2CF2"/>
    <w:rsid w:val="006A2D5A"/>
    <w:rsid w:val="006A3E8A"/>
    <w:rsid w:val="006A452A"/>
    <w:rsid w:val="006A48B5"/>
    <w:rsid w:val="006A4AAF"/>
    <w:rsid w:val="006A4F07"/>
    <w:rsid w:val="006A62B4"/>
    <w:rsid w:val="006A6B33"/>
    <w:rsid w:val="006A7191"/>
    <w:rsid w:val="006A7C18"/>
    <w:rsid w:val="006B01B9"/>
    <w:rsid w:val="006B027F"/>
    <w:rsid w:val="006B1273"/>
    <w:rsid w:val="006B1D89"/>
    <w:rsid w:val="006B24B4"/>
    <w:rsid w:val="006B2DEB"/>
    <w:rsid w:val="006B2E00"/>
    <w:rsid w:val="006B4741"/>
    <w:rsid w:val="006B4760"/>
    <w:rsid w:val="006B4F8C"/>
    <w:rsid w:val="006B5C13"/>
    <w:rsid w:val="006B6B92"/>
    <w:rsid w:val="006B7164"/>
    <w:rsid w:val="006B73C6"/>
    <w:rsid w:val="006C0052"/>
    <w:rsid w:val="006C056D"/>
    <w:rsid w:val="006C2289"/>
    <w:rsid w:val="006C2C8E"/>
    <w:rsid w:val="006C2C9F"/>
    <w:rsid w:val="006C4030"/>
    <w:rsid w:val="006C45F7"/>
    <w:rsid w:val="006C57B4"/>
    <w:rsid w:val="006C61F2"/>
    <w:rsid w:val="006C698A"/>
    <w:rsid w:val="006C6FF5"/>
    <w:rsid w:val="006C7E9B"/>
    <w:rsid w:val="006D0616"/>
    <w:rsid w:val="006D0AAF"/>
    <w:rsid w:val="006D1A38"/>
    <w:rsid w:val="006D235A"/>
    <w:rsid w:val="006D393F"/>
    <w:rsid w:val="006D41C8"/>
    <w:rsid w:val="006D449E"/>
    <w:rsid w:val="006D45C6"/>
    <w:rsid w:val="006D4727"/>
    <w:rsid w:val="006D50C1"/>
    <w:rsid w:val="006D5525"/>
    <w:rsid w:val="006D5B72"/>
    <w:rsid w:val="006D6916"/>
    <w:rsid w:val="006D7256"/>
    <w:rsid w:val="006D7455"/>
    <w:rsid w:val="006D7D33"/>
    <w:rsid w:val="006E0D74"/>
    <w:rsid w:val="006E2388"/>
    <w:rsid w:val="006E28E7"/>
    <w:rsid w:val="006E4B4F"/>
    <w:rsid w:val="006E57BF"/>
    <w:rsid w:val="006E7301"/>
    <w:rsid w:val="006E7502"/>
    <w:rsid w:val="006E7E28"/>
    <w:rsid w:val="006F11EF"/>
    <w:rsid w:val="006F1D26"/>
    <w:rsid w:val="006F2BA4"/>
    <w:rsid w:val="006F2E96"/>
    <w:rsid w:val="006F58CA"/>
    <w:rsid w:val="006F5DDE"/>
    <w:rsid w:val="006F611E"/>
    <w:rsid w:val="006F62BC"/>
    <w:rsid w:val="006F6CE1"/>
    <w:rsid w:val="006F6D2C"/>
    <w:rsid w:val="006F7930"/>
    <w:rsid w:val="006F7E97"/>
    <w:rsid w:val="006F7FCD"/>
    <w:rsid w:val="00700565"/>
    <w:rsid w:val="00700E58"/>
    <w:rsid w:val="00701D27"/>
    <w:rsid w:val="00701DD7"/>
    <w:rsid w:val="00702AFE"/>
    <w:rsid w:val="00702DEB"/>
    <w:rsid w:val="0070397F"/>
    <w:rsid w:val="00703BC1"/>
    <w:rsid w:val="00703EEA"/>
    <w:rsid w:val="007047A0"/>
    <w:rsid w:val="0070527E"/>
    <w:rsid w:val="007058D3"/>
    <w:rsid w:val="0070599F"/>
    <w:rsid w:val="00706100"/>
    <w:rsid w:val="0070614E"/>
    <w:rsid w:val="00706B16"/>
    <w:rsid w:val="00707550"/>
    <w:rsid w:val="007076B0"/>
    <w:rsid w:val="00710333"/>
    <w:rsid w:val="00710393"/>
    <w:rsid w:val="007108FE"/>
    <w:rsid w:val="007109D5"/>
    <w:rsid w:val="00711F40"/>
    <w:rsid w:val="00713161"/>
    <w:rsid w:val="00713F3A"/>
    <w:rsid w:val="00713F58"/>
    <w:rsid w:val="007156C6"/>
    <w:rsid w:val="007158F6"/>
    <w:rsid w:val="00715A94"/>
    <w:rsid w:val="00716493"/>
    <w:rsid w:val="00716A4C"/>
    <w:rsid w:val="00716EED"/>
    <w:rsid w:val="007216D6"/>
    <w:rsid w:val="00721CFD"/>
    <w:rsid w:val="00721F3B"/>
    <w:rsid w:val="00725E57"/>
    <w:rsid w:val="007263DA"/>
    <w:rsid w:val="00726B6A"/>
    <w:rsid w:val="0072754C"/>
    <w:rsid w:val="007305E8"/>
    <w:rsid w:val="00730D94"/>
    <w:rsid w:val="00731295"/>
    <w:rsid w:val="00731BB1"/>
    <w:rsid w:val="007329D1"/>
    <w:rsid w:val="00732B78"/>
    <w:rsid w:val="00732E38"/>
    <w:rsid w:val="00732E3A"/>
    <w:rsid w:val="007332EB"/>
    <w:rsid w:val="007338DB"/>
    <w:rsid w:val="00733F31"/>
    <w:rsid w:val="007346D0"/>
    <w:rsid w:val="007364B4"/>
    <w:rsid w:val="007366AC"/>
    <w:rsid w:val="00737213"/>
    <w:rsid w:val="007375E5"/>
    <w:rsid w:val="00737707"/>
    <w:rsid w:val="00737D25"/>
    <w:rsid w:val="007409E5"/>
    <w:rsid w:val="00743699"/>
    <w:rsid w:val="00743998"/>
    <w:rsid w:val="00743C92"/>
    <w:rsid w:val="00743CB7"/>
    <w:rsid w:val="007448E0"/>
    <w:rsid w:val="00744F90"/>
    <w:rsid w:val="00745606"/>
    <w:rsid w:val="007467E9"/>
    <w:rsid w:val="0074744E"/>
    <w:rsid w:val="0074799A"/>
    <w:rsid w:val="00750423"/>
    <w:rsid w:val="00750AA5"/>
    <w:rsid w:val="00750B92"/>
    <w:rsid w:val="007510FE"/>
    <w:rsid w:val="0075186F"/>
    <w:rsid w:val="00751C34"/>
    <w:rsid w:val="00752D7F"/>
    <w:rsid w:val="00752D9E"/>
    <w:rsid w:val="00752E6E"/>
    <w:rsid w:val="007531B0"/>
    <w:rsid w:val="007539D7"/>
    <w:rsid w:val="00753AF1"/>
    <w:rsid w:val="00754B79"/>
    <w:rsid w:val="00754FC6"/>
    <w:rsid w:val="00755793"/>
    <w:rsid w:val="00755EAF"/>
    <w:rsid w:val="00756397"/>
    <w:rsid w:val="00756BD4"/>
    <w:rsid w:val="00756FBB"/>
    <w:rsid w:val="0075722F"/>
    <w:rsid w:val="00757249"/>
    <w:rsid w:val="0075743F"/>
    <w:rsid w:val="007609B8"/>
    <w:rsid w:val="00760CE9"/>
    <w:rsid w:val="00761E77"/>
    <w:rsid w:val="00762A0B"/>
    <w:rsid w:val="00762AC1"/>
    <w:rsid w:val="00762ACD"/>
    <w:rsid w:val="00762C19"/>
    <w:rsid w:val="00763B85"/>
    <w:rsid w:val="00764163"/>
    <w:rsid w:val="0076498C"/>
    <w:rsid w:val="00765EA6"/>
    <w:rsid w:val="00765F91"/>
    <w:rsid w:val="00766337"/>
    <w:rsid w:val="00766513"/>
    <w:rsid w:val="00766D6A"/>
    <w:rsid w:val="007719A3"/>
    <w:rsid w:val="00771B42"/>
    <w:rsid w:val="00772199"/>
    <w:rsid w:val="007733A7"/>
    <w:rsid w:val="00774D83"/>
    <w:rsid w:val="007759AE"/>
    <w:rsid w:val="00775C1D"/>
    <w:rsid w:val="00776A4B"/>
    <w:rsid w:val="007776CE"/>
    <w:rsid w:val="007777FE"/>
    <w:rsid w:val="007804FE"/>
    <w:rsid w:val="00780CBE"/>
    <w:rsid w:val="00780F00"/>
    <w:rsid w:val="0078142F"/>
    <w:rsid w:val="00782197"/>
    <w:rsid w:val="007825F6"/>
    <w:rsid w:val="00782694"/>
    <w:rsid w:val="0078342D"/>
    <w:rsid w:val="00783A78"/>
    <w:rsid w:val="00783B86"/>
    <w:rsid w:val="00783D11"/>
    <w:rsid w:val="00783D2F"/>
    <w:rsid w:val="00783D4B"/>
    <w:rsid w:val="00783E2B"/>
    <w:rsid w:val="00783F41"/>
    <w:rsid w:val="007842EA"/>
    <w:rsid w:val="00784C16"/>
    <w:rsid w:val="00784E82"/>
    <w:rsid w:val="00785282"/>
    <w:rsid w:val="0078788A"/>
    <w:rsid w:val="007902C6"/>
    <w:rsid w:val="00790391"/>
    <w:rsid w:val="007903B6"/>
    <w:rsid w:val="0079116B"/>
    <w:rsid w:val="00791A12"/>
    <w:rsid w:val="007923A3"/>
    <w:rsid w:val="007924B8"/>
    <w:rsid w:val="00792610"/>
    <w:rsid w:val="00793241"/>
    <w:rsid w:val="007932DA"/>
    <w:rsid w:val="0079398B"/>
    <w:rsid w:val="00794D1E"/>
    <w:rsid w:val="0079508D"/>
    <w:rsid w:val="00795768"/>
    <w:rsid w:val="00795F44"/>
    <w:rsid w:val="0079664D"/>
    <w:rsid w:val="00796AE0"/>
    <w:rsid w:val="00796AE8"/>
    <w:rsid w:val="00797E4C"/>
    <w:rsid w:val="007A0A20"/>
    <w:rsid w:val="007A1384"/>
    <w:rsid w:val="007A26AA"/>
    <w:rsid w:val="007A2ADB"/>
    <w:rsid w:val="007A2B67"/>
    <w:rsid w:val="007A325D"/>
    <w:rsid w:val="007A38C5"/>
    <w:rsid w:val="007A3AFF"/>
    <w:rsid w:val="007A4180"/>
    <w:rsid w:val="007A4309"/>
    <w:rsid w:val="007A4505"/>
    <w:rsid w:val="007A47C5"/>
    <w:rsid w:val="007A529C"/>
    <w:rsid w:val="007A54FF"/>
    <w:rsid w:val="007A55DD"/>
    <w:rsid w:val="007A61D0"/>
    <w:rsid w:val="007A6DBE"/>
    <w:rsid w:val="007A715F"/>
    <w:rsid w:val="007A7209"/>
    <w:rsid w:val="007A743C"/>
    <w:rsid w:val="007B042D"/>
    <w:rsid w:val="007B0963"/>
    <w:rsid w:val="007B11BC"/>
    <w:rsid w:val="007B121A"/>
    <w:rsid w:val="007B1680"/>
    <w:rsid w:val="007B1751"/>
    <w:rsid w:val="007B17F3"/>
    <w:rsid w:val="007B1F32"/>
    <w:rsid w:val="007B1FEA"/>
    <w:rsid w:val="007B2156"/>
    <w:rsid w:val="007B24C8"/>
    <w:rsid w:val="007B2787"/>
    <w:rsid w:val="007B3499"/>
    <w:rsid w:val="007B42F2"/>
    <w:rsid w:val="007B56D7"/>
    <w:rsid w:val="007B59DC"/>
    <w:rsid w:val="007B602F"/>
    <w:rsid w:val="007B60F2"/>
    <w:rsid w:val="007B6448"/>
    <w:rsid w:val="007B68F0"/>
    <w:rsid w:val="007B756E"/>
    <w:rsid w:val="007C1256"/>
    <w:rsid w:val="007C1863"/>
    <w:rsid w:val="007C1CD4"/>
    <w:rsid w:val="007C1D02"/>
    <w:rsid w:val="007C2549"/>
    <w:rsid w:val="007C27E5"/>
    <w:rsid w:val="007C2931"/>
    <w:rsid w:val="007C6AA4"/>
    <w:rsid w:val="007C6DEE"/>
    <w:rsid w:val="007C7150"/>
    <w:rsid w:val="007C730A"/>
    <w:rsid w:val="007C7493"/>
    <w:rsid w:val="007D0E66"/>
    <w:rsid w:val="007D1405"/>
    <w:rsid w:val="007D15CC"/>
    <w:rsid w:val="007D43FB"/>
    <w:rsid w:val="007D46CD"/>
    <w:rsid w:val="007D6002"/>
    <w:rsid w:val="007D6027"/>
    <w:rsid w:val="007D617D"/>
    <w:rsid w:val="007D63CF"/>
    <w:rsid w:val="007D66F7"/>
    <w:rsid w:val="007D694F"/>
    <w:rsid w:val="007D6B71"/>
    <w:rsid w:val="007D6E99"/>
    <w:rsid w:val="007D7024"/>
    <w:rsid w:val="007D7925"/>
    <w:rsid w:val="007D7DE4"/>
    <w:rsid w:val="007E01E5"/>
    <w:rsid w:val="007E02F0"/>
    <w:rsid w:val="007E06FD"/>
    <w:rsid w:val="007E10DA"/>
    <w:rsid w:val="007E1B85"/>
    <w:rsid w:val="007E287D"/>
    <w:rsid w:val="007E388D"/>
    <w:rsid w:val="007E413A"/>
    <w:rsid w:val="007E43D9"/>
    <w:rsid w:val="007E444B"/>
    <w:rsid w:val="007E4D96"/>
    <w:rsid w:val="007E5DD5"/>
    <w:rsid w:val="007E6032"/>
    <w:rsid w:val="007E73AE"/>
    <w:rsid w:val="007F1F45"/>
    <w:rsid w:val="007F3020"/>
    <w:rsid w:val="007F32D9"/>
    <w:rsid w:val="007F33F4"/>
    <w:rsid w:val="007F3BC3"/>
    <w:rsid w:val="007F4772"/>
    <w:rsid w:val="007F60C8"/>
    <w:rsid w:val="007F61A3"/>
    <w:rsid w:val="007F62F3"/>
    <w:rsid w:val="007F64A7"/>
    <w:rsid w:val="007F6776"/>
    <w:rsid w:val="008003C8"/>
    <w:rsid w:val="00800715"/>
    <w:rsid w:val="00800E17"/>
    <w:rsid w:val="00800E2F"/>
    <w:rsid w:val="00801B68"/>
    <w:rsid w:val="00802691"/>
    <w:rsid w:val="0080340F"/>
    <w:rsid w:val="008040E1"/>
    <w:rsid w:val="0080412B"/>
    <w:rsid w:val="008059D6"/>
    <w:rsid w:val="00805DB7"/>
    <w:rsid w:val="00805DD8"/>
    <w:rsid w:val="008069BD"/>
    <w:rsid w:val="00806FF9"/>
    <w:rsid w:val="008074A9"/>
    <w:rsid w:val="00807633"/>
    <w:rsid w:val="00807937"/>
    <w:rsid w:val="00811598"/>
    <w:rsid w:val="00811E51"/>
    <w:rsid w:val="00812135"/>
    <w:rsid w:val="008122BD"/>
    <w:rsid w:val="0081237C"/>
    <w:rsid w:val="00812680"/>
    <w:rsid w:val="008128F1"/>
    <w:rsid w:val="00812C30"/>
    <w:rsid w:val="008139B1"/>
    <w:rsid w:val="008140E5"/>
    <w:rsid w:val="00814CD6"/>
    <w:rsid w:val="00814D2F"/>
    <w:rsid w:val="00816735"/>
    <w:rsid w:val="00816745"/>
    <w:rsid w:val="00816779"/>
    <w:rsid w:val="0081723F"/>
    <w:rsid w:val="00817362"/>
    <w:rsid w:val="008214A1"/>
    <w:rsid w:val="00821E7F"/>
    <w:rsid w:val="008220F8"/>
    <w:rsid w:val="00823154"/>
    <w:rsid w:val="008246BD"/>
    <w:rsid w:val="0082481F"/>
    <w:rsid w:val="008248CE"/>
    <w:rsid w:val="00824C84"/>
    <w:rsid w:val="00825090"/>
    <w:rsid w:val="00825294"/>
    <w:rsid w:val="0082661D"/>
    <w:rsid w:val="00826680"/>
    <w:rsid w:val="00827B70"/>
    <w:rsid w:val="00830629"/>
    <w:rsid w:val="00830A37"/>
    <w:rsid w:val="008323CF"/>
    <w:rsid w:val="00832FFB"/>
    <w:rsid w:val="00833458"/>
    <w:rsid w:val="00834D2B"/>
    <w:rsid w:val="00835876"/>
    <w:rsid w:val="00835894"/>
    <w:rsid w:val="008369B7"/>
    <w:rsid w:val="00836CA2"/>
    <w:rsid w:val="00836D2B"/>
    <w:rsid w:val="00836EB1"/>
    <w:rsid w:val="0083760F"/>
    <w:rsid w:val="00837E78"/>
    <w:rsid w:val="0084019D"/>
    <w:rsid w:val="00841749"/>
    <w:rsid w:val="00843967"/>
    <w:rsid w:val="00843A3F"/>
    <w:rsid w:val="00843C94"/>
    <w:rsid w:val="00845135"/>
    <w:rsid w:val="00845B57"/>
    <w:rsid w:val="0084682E"/>
    <w:rsid w:val="00846CD5"/>
    <w:rsid w:val="00847AD3"/>
    <w:rsid w:val="00847C2D"/>
    <w:rsid w:val="00850291"/>
    <w:rsid w:val="0085065B"/>
    <w:rsid w:val="008508A2"/>
    <w:rsid w:val="00850920"/>
    <w:rsid w:val="00850D5B"/>
    <w:rsid w:val="00851357"/>
    <w:rsid w:val="00851D84"/>
    <w:rsid w:val="008529ED"/>
    <w:rsid w:val="00852A2F"/>
    <w:rsid w:val="0085377D"/>
    <w:rsid w:val="008538A2"/>
    <w:rsid w:val="00853E6C"/>
    <w:rsid w:val="00855878"/>
    <w:rsid w:val="0085687B"/>
    <w:rsid w:val="00856E27"/>
    <w:rsid w:val="008572E8"/>
    <w:rsid w:val="008577B9"/>
    <w:rsid w:val="0086117D"/>
    <w:rsid w:val="00862412"/>
    <w:rsid w:val="0086286F"/>
    <w:rsid w:val="0086339C"/>
    <w:rsid w:val="00863FE2"/>
    <w:rsid w:val="008642A5"/>
    <w:rsid w:val="00864B5E"/>
    <w:rsid w:val="008659A1"/>
    <w:rsid w:val="008666C2"/>
    <w:rsid w:val="00866E60"/>
    <w:rsid w:val="00867721"/>
    <w:rsid w:val="00867B8B"/>
    <w:rsid w:val="0087047D"/>
    <w:rsid w:val="00870DA2"/>
    <w:rsid w:val="00870EDA"/>
    <w:rsid w:val="0087209D"/>
    <w:rsid w:val="00872160"/>
    <w:rsid w:val="0087232F"/>
    <w:rsid w:val="008728A5"/>
    <w:rsid w:val="00874247"/>
    <w:rsid w:val="00874520"/>
    <w:rsid w:val="0087484B"/>
    <w:rsid w:val="0087497E"/>
    <w:rsid w:val="00874EA9"/>
    <w:rsid w:val="00875C64"/>
    <w:rsid w:val="00875E35"/>
    <w:rsid w:val="008765D2"/>
    <w:rsid w:val="008765DA"/>
    <w:rsid w:val="0087713A"/>
    <w:rsid w:val="0087737D"/>
    <w:rsid w:val="00880333"/>
    <w:rsid w:val="0088051F"/>
    <w:rsid w:val="00880627"/>
    <w:rsid w:val="00880ADA"/>
    <w:rsid w:val="00880BAC"/>
    <w:rsid w:val="0088156F"/>
    <w:rsid w:val="00881750"/>
    <w:rsid w:val="00881932"/>
    <w:rsid w:val="00882A1C"/>
    <w:rsid w:val="0088321D"/>
    <w:rsid w:val="008834D4"/>
    <w:rsid w:val="00883838"/>
    <w:rsid w:val="00884085"/>
    <w:rsid w:val="00884CB6"/>
    <w:rsid w:val="00885C8D"/>
    <w:rsid w:val="00886232"/>
    <w:rsid w:val="00886CCC"/>
    <w:rsid w:val="0088747D"/>
    <w:rsid w:val="00890670"/>
    <w:rsid w:val="00891029"/>
    <w:rsid w:val="00891E11"/>
    <w:rsid w:val="00892E71"/>
    <w:rsid w:val="00893FD3"/>
    <w:rsid w:val="00894149"/>
    <w:rsid w:val="008955BC"/>
    <w:rsid w:val="00895CD9"/>
    <w:rsid w:val="00895E24"/>
    <w:rsid w:val="00895E39"/>
    <w:rsid w:val="008971A1"/>
    <w:rsid w:val="00897D5B"/>
    <w:rsid w:val="008A0252"/>
    <w:rsid w:val="008A20E0"/>
    <w:rsid w:val="008A3FB7"/>
    <w:rsid w:val="008A63F3"/>
    <w:rsid w:val="008A68DD"/>
    <w:rsid w:val="008A692E"/>
    <w:rsid w:val="008A6D54"/>
    <w:rsid w:val="008A770A"/>
    <w:rsid w:val="008A7712"/>
    <w:rsid w:val="008A7773"/>
    <w:rsid w:val="008A7832"/>
    <w:rsid w:val="008A7A14"/>
    <w:rsid w:val="008A7D1F"/>
    <w:rsid w:val="008B0865"/>
    <w:rsid w:val="008B114B"/>
    <w:rsid w:val="008B3261"/>
    <w:rsid w:val="008B450F"/>
    <w:rsid w:val="008B504D"/>
    <w:rsid w:val="008B6045"/>
    <w:rsid w:val="008B64DB"/>
    <w:rsid w:val="008B705D"/>
    <w:rsid w:val="008B728C"/>
    <w:rsid w:val="008B72B9"/>
    <w:rsid w:val="008C0A14"/>
    <w:rsid w:val="008C2420"/>
    <w:rsid w:val="008C24BA"/>
    <w:rsid w:val="008C283C"/>
    <w:rsid w:val="008C2F0E"/>
    <w:rsid w:val="008C31B4"/>
    <w:rsid w:val="008C3AC4"/>
    <w:rsid w:val="008C4341"/>
    <w:rsid w:val="008C4A83"/>
    <w:rsid w:val="008C5763"/>
    <w:rsid w:val="008C600B"/>
    <w:rsid w:val="008C60D2"/>
    <w:rsid w:val="008C6731"/>
    <w:rsid w:val="008C673A"/>
    <w:rsid w:val="008C6F28"/>
    <w:rsid w:val="008C7057"/>
    <w:rsid w:val="008C71D2"/>
    <w:rsid w:val="008D0F3C"/>
    <w:rsid w:val="008D1368"/>
    <w:rsid w:val="008D2EAE"/>
    <w:rsid w:val="008D3108"/>
    <w:rsid w:val="008D4307"/>
    <w:rsid w:val="008D5935"/>
    <w:rsid w:val="008D66C1"/>
    <w:rsid w:val="008D6A45"/>
    <w:rsid w:val="008D723D"/>
    <w:rsid w:val="008D7542"/>
    <w:rsid w:val="008D7700"/>
    <w:rsid w:val="008D7D76"/>
    <w:rsid w:val="008E16BB"/>
    <w:rsid w:val="008E1C44"/>
    <w:rsid w:val="008E2218"/>
    <w:rsid w:val="008E2FB7"/>
    <w:rsid w:val="008E302D"/>
    <w:rsid w:val="008E4D25"/>
    <w:rsid w:val="008E51AC"/>
    <w:rsid w:val="008E5580"/>
    <w:rsid w:val="008E702B"/>
    <w:rsid w:val="008E7255"/>
    <w:rsid w:val="008F03A0"/>
    <w:rsid w:val="008F0486"/>
    <w:rsid w:val="008F1342"/>
    <w:rsid w:val="008F196B"/>
    <w:rsid w:val="008F1FFF"/>
    <w:rsid w:val="008F2022"/>
    <w:rsid w:val="008F2740"/>
    <w:rsid w:val="008F2A8F"/>
    <w:rsid w:val="008F39A4"/>
    <w:rsid w:val="008F4EC9"/>
    <w:rsid w:val="008F5710"/>
    <w:rsid w:val="008F587D"/>
    <w:rsid w:val="008F5B29"/>
    <w:rsid w:val="008F61BE"/>
    <w:rsid w:val="008F6404"/>
    <w:rsid w:val="008F680A"/>
    <w:rsid w:val="008F7258"/>
    <w:rsid w:val="008F7D08"/>
    <w:rsid w:val="00900048"/>
    <w:rsid w:val="00900947"/>
    <w:rsid w:val="009024E2"/>
    <w:rsid w:val="00902C37"/>
    <w:rsid w:val="00902DE3"/>
    <w:rsid w:val="00903EDB"/>
    <w:rsid w:val="0090433E"/>
    <w:rsid w:val="00904C57"/>
    <w:rsid w:val="00905056"/>
    <w:rsid w:val="00905523"/>
    <w:rsid w:val="009055F9"/>
    <w:rsid w:val="00906068"/>
    <w:rsid w:val="009061E0"/>
    <w:rsid w:val="00906951"/>
    <w:rsid w:val="00906B94"/>
    <w:rsid w:val="00906E66"/>
    <w:rsid w:val="00906ED5"/>
    <w:rsid w:val="0090778A"/>
    <w:rsid w:val="009100DA"/>
    <w:rsid w:val="009101A1"/>
    <w:rsid w:val="0091131C"/>
    <w:rsid w:val="009119A6"/>
    <w:rsid w:val="00911AC7"/>
    <w:rsid w:val="00911DBF"/>
    <w:rsid w:val="00912210"/>
    <w:rsid w:val="009123D4"/>
    <w:rsid w:val="00912522"/>
    <w:rsid w:val="0091257F"/>
    <w:rsid w:val="0091480E"/>
    <w:rsid w:val="009154F1"/>
    <w:rsid w:val="00915C8C"/>
    <w:rsid w:val="00920060"/>
    <w:rsid w:val="009203F8"/>
    <w:rsid w:val="009227AE"/>
    <w:rsid w:val="0092314D"/>
    <w:rsid w:val="00924283"/>
    <w:rsid w:val="0092486D"/>
    <w:rsid w:val="00924BC5"/>
    <w:rsid w:val="00925966"/>
    <w:rsid w:val="00925AB5"/>
    <w:rsid w:val="00925DF7"/>
    <w:rsid w:val="00926887"/>
    <w:rsid w:val="00927517"/>
    <w:rsid w:val="00930363"/>
    <w:rsid w:val="00930473"/>
    <w:rsid w:val="00930DD2"/>
    <w:rsid w:val="009312D3"/>
    <w:rsid w:val="00931D69"/>
    <w:rsid w:val="00932BB1"/>
    <w:rsid w:val="00932FC6"/>
    <w:rsid w:val="009331C6"/>
    <w:rsid w:val="009338D4"/>
    <w:rsid w:val="009345D1"/>
    <w:rsid w:val="00934630"/>
    <w:rsid w:val="00934FF2"/>
    <w:rsid w:val="009368FA"/>
    <w:rsid w:val="009369C0"/>
    <w:rsid w:val="00936CD4"/>
    <w:rsid w:val="009376D1"/>
    <w:rsid w:val="00940200"/>
    <w:rsid w:val="00940536"/>
    <w:rsid w:val="00941850"/>
    <w:rsid w:val="00941D80"/>
    <w:rsid w:val="00941E5F"/>
    <w:rsid w:val="00942005"/>
    <w:rsid w:val="00942D0A"/>
    <w:rsid w:val="009443A5"/>
    <w:rsid w:val="009447C2"/>
    <w:rsid w:val="00944E2C"/>
    <w:rsid w:val="009455BF"/>
    <w:rsid w:val="00946989"/>
    <w:rsid w:val="00946FF9"/>
    <w:rsid w:val="00947C96"/>
    <w:rsid w:val="00950FED"/>
    <w:rsid w:val="009514B1"/>
    <w:rsid w:val="00951B4D"/>
    <w:rsid w:val="0095263F"/>
    <w:rsid w:val="009528B6"/>
    <w:rsid w:val="00954843"/>
    <w:rsid w:val="00954D44"/>
    <w:rsid w:val="00955197"/>
    <w:rsid w:val="00955E97"/>
    <w:rsid w:val="00955FC9"/>
    <w:rsid w:val="009570EF"/>
    <w:rsid w:val="00957C6D"/>
    <w:rsid w:val="009609DB"/>
    <w:rsid w:val="00961848"/>
    <w:rsid w:val="0096208F"/>
    <w:rsid w:val="00962838"/>
    <w:rsid w:val="009629D6"/>
    <w:rsid w:val="00962E85"/>
    <w:rsid w:val="009639B5"/>
    <w:rsid w:val="009639FF"/>
    <w:rsid w:val="00963FD9"/>
    <w:rsid w:val="00964049"/>
    <w:rsid w:val="00965C4E"/>
    <w:rsid w:val="00966584"/>
    <w:rsid w:val="00966620"/>
    <w:rsid w:val="0096684B"/>
    <w:rsid w:val="00966D3F"/>
    <w:rsid w:val="00967C8A"/>
    <w:rsid w:val="009711D8"/>
    <w:rsid w:val="009728A3"/>
    <w:rsid w:val="00973ABE"/>
    <w:rsid w:val="00974251"/>
    <w:rsid w:val="00974313"/>
    <w:rsid w:val="00974470"/>
    <w:rsid w:val="00974807"/>
    <w:rsid w:val="00975585"/>
    <w:rsid w:val="0097595E"/>
    <w:rsid w:val="009766F0"/>
    <w:rsid w:val="00976C1E"/>
    <w:rsid w:val="0097742F"/>
    <w:rsid w:val="00977695"/>
    <w:rsid w:val="00980A09"/>
    <w:rsid w:val="00980AE3"/>
    <w:rsid w:val="0098104D"/>
    <w:rsid w:val="0098261D"/>
    <w:rsid w:val="00982666"/>
    <w:rsid w:val="00982F96"/>
    <w:rsid w:val="00983207"/>
    <w:rsid w:val="00983763"/>
    <w:rsid w:val="009839BE"/>
    <w:rsid w:val="00983C49"/>
    <w:rsid w:val="00984566"/>
    <w:rsid w:val="009847A7"/>
    <w:rsid w:val="00985962"/>
    <w:rsid w:val="0098656E"/>
    <w:rsid w:val="009866BD"/>
    <w:rsid w:val="00986E2D"/>
    <w:rsid w:val="0098751B"/>
    <w:rsid w:val="0098796C"/>
    <w:rsid w:val="00987CB0"/>
    <w:rsid w:val="009908B7"/>
    <w:rsid w:val="00990DB0"/>
    <w:rsid w:val="00990DDC"/>
    <w:rsid w:val="00990FAC"/>
    <w:rsid w:val="00991040"/>
    <w:rsid w:val="00991987"/>
    <w:rsid w:val="00991F3E"/>
    <w:rsid w:val="00992882"/>
    <w:rsid w:val="00992B85"/>
    <w:rsid w:val="00993A1D"/>
    <w:rsid w:val="009948FB"/>
    <w:rsid w:val="00994980"/>
    <w:rsid w:val="00994B89"/>
    <w:rsid w:val="009958FA"/>
    <w:rsid w:val="00995C53"/>
    <w:rsid w:val="00995EB1"/>
    <w:rsid w:val="00995F5F"/>
    <w:rsid w:val="00996770"/>
    <w:rsid w:val="00996AF5"/>
    <w:rsid w:val="0099757D"/>
    <w:rsid w:val="009A0F00"/>
    <w:rsid w:val="009A1C42"/>
    <w:rsid w:val="009A1F74"/>
    <w:rsid w:val="009A2306"/>
    <w:rsid w:val="009A30CB"/>
    <w:rsid w:val="009A3856"/>
    <w:rsid w:val="009A388A"/>
    <w:rsid w:val="009A43DC"/>
    <w:rsid w:val="009A45F4"/>
    <w:rsid w:val="009A4ADC"/>
    <w:rsid w:val="009A576A"/>
    <w:rsid w:val="009A5D8D"/>
    <w:rsid w:val="009A624D"/>
    <w:rsid w:val="009A7694"/>
    <w:rsid w:val="009A7B81"/>
    <w:rsid w:val="009A7EE1"/>
    <w:rsid w:val="009B0442"/>
    <w:rsid w:val="009B04DB"/>
    <w:rsid w:val="009B0527"/>
    <w:rsid w:val="009B0E4B"/>
    <w:rsid w:val="009B1DEE"/>
    <w:rsid w:val="009B245B"/>
    <w:rsid w:val="009B34FA"/>
    <w:rsid w:val="009B531F"/>
    <w:rsid w:val="009B55B4"/>
    <w:rsid w:val="009B6054"/>
    <w:rsid w:val="009B615A"/>
    <w:rsid w:val="009B64CF"/>
    <w:rsid w:val="009B65A5"/>
    <w:rsid w:val="009B71F4"/>
    <w:rsid w:val="009B7364"/>
    <w:rsid w:val="009C0AA5"/>
    <w:rsid w:val="009C0ED6"/>
    <w:rsid w:val="009C10D3"/>
    <w:rsid w:val="009C158F"/>
    <w:rsid w:val="009C1E67"/>
    <w:rsid w:val="009C20DE"/>
    <w:rsid w:val="009C2288"/>
    <w:rsid w:val="009C3227"/>
    <w:rsid w:val="009C398C"/>
    <w:rsid w:val="009C4A3F"/>
    <w:rsid w:val="009C4A6C"/>
    <w:rsid w:val="009C4E14"/>
    <w:rsid w:val="009C6043"/>
    <w:rsid w:val="009C6597"/>
    <w:rsid w:val="009C6F67"/>
    <w:rsid w:val="009C7C5A"/>
    <w:rsid w:val="009C7DEB"/>
    <w:rsid w:val="009C7E67"/>
    <w:rsid w:val="009C7ED7"/>
    <w:rsid w:val="009D0431"/>
    <w:rsid w:val="009D1DAB"/>
    <w:rsid w:val="009D20AA"/>
    <w:rsid w:val="009D228D"/>
    <w:rsid w:val="009D2472"/>
    <w:rsid w:val="009D2B13"/>
    <w:rsid w:val="009D31FE"/>
    <w:rsid w:val="009D3255"/>
    <w:rsid w:val="009D4382"/>
    <w:rsid w:val="009D4D0C"/>
    <w:rsid w:val="009D5BCB"/>
    <w:rsid w:val="009D5C43"/>
    <w:rsid w:val="009D5CE8"/>
    <w:rsid w:val="009D6DED"/>
    <w:rsid w:val="009E2068"/>
    <w:rsid w:val="009E346F"/>
    <w:rsid w:val="009E40D7"/>
    <w:rsid w:val="009E434B"/>
    <w:rsid w:val="009E533E"/>
    <w:rsid w:val="009E58D4"/>
    <w:rsid w:val="009E624F"/>
    <w:rsid w:val="009E6399"/>
    <w:rsid w:val="009E7F99"/>
    <w:rsid w:val="009F017A"/>
    <w:rsid w:val="009F0D2F"/>
    <w:rsid w:val="009F158C"/>
    <w:rsid w:val="009F1D6D"/>
    <w:rsid w:val="009F3728"/>
    <w:rsid w:val="009F4B47"/>
    <w:rsid w:val="009F4BD8"/>
    <w:rsid w:val="009F639B"/>
    <w:rsid w:val="009F69B8"/>
    <w:rsid w:val="009F6AB6"/>
    <w:rsid w:val="009F717C"/>
    <w:rsid w:val="009F783F"/>
    <w:rsid w:val="009F7A46"/>
    <w:rsid w:val="00A001AB"/>
    <w:rsid w:val="00A01120"/>
    <w:rsid w:val="00A0149E"/>
    <w:rsid w:val="00A021C6"/>
    <w:rsid w:val="00A0235F"/>
    <w:rsid w:val="00A02C5E"/>
    <w:rsid w:val="00A0390E"/>
    <w:rsid w:val="00A0458A"/>
    <w:rsid w:val="00A046FC"/>
    <w:rsid w:val="00A05600"/>
    <w:rsid w:val="00A05F69"/>
    <w:rsid w:val="00A0619D"/>
    <w:rsid w:val="00A0687E"/>
    <w:rsid w:val="00A07CE2"/>
    <w:rsid w:val="00A104CE"/>
    <w:rsid w:val="00A10A58"/>
    <w:rsid w:val="00A1199D"/>
    <w:rsid w:val="00A12B83"/>
    <w:rsid w:val="00A12E9E"/>
    <w:rsid w:val="00A13C08"/>
    <w:rsid w:val="00A13FC2"/>
    <w:rsid w:val="00A1413C"/>
    <w:rsid w:val="00A14C9B"/>
    <w:rsid w:val="00A14F8B"/>
    <w:rsid w:val="00A15911"/>
    <w:rsid w:val="00A15DEC"/>
    <w:rsid w:val="00A169E8"/>
    <w:rsid w:val="00A176AA"/>
    <w:rsid w:val="00A178E4"/>
    <w:rsid w:val="00A179A5"/>
    <w:rsid w:val="00A17BD5"/>
    <w:rsid w:val="00A17D55"/>
    <w:rsid w:val="00A2117E"/>
    <w:rsid w:val="00A2154C"/>
    <w:rsid w:val="00A21CEE"/>
    <w:rsid w:val="00A226CB"/>
    <w:rsid w:val="00A22CC5"/>
    <w:rsid w:val="00A23CE6"/>
    <w:rsid w:val="00A245C7"/>
    <w:rsid w:val="00A27476"/>
    <w:rsid w:val="00A27ED7"/>
    <w:rsid w:val="00A30538"/>
    <w:rsid w:val="00A30CF3"/>
    <w:rsid w:val="00A30E10"/>
    <w:rsid w:val="00A32D32"/>
    <w:rsid w:val="00A333FA"/>
    <w:rsid w:val="00A36014"/>
    <w:rsid w:val="00A36687"/>
    <w:rsid w:val="00A368A6"/>
    <w:rsid w:val="00A37B6C"/>
    <w:rsid w:val="00A40860"/>
    <w:rsid w:val="00A40A61"/>
    <w:rsid w:val="00A41F25"/>
    <w:rsid w:val="00A42434"/>
    <w:rsid w:val="00A430CA"/>
    <w:rsid w:val="00A4336A"/>
    <w:rsid w:val="00A44D02"/>
    <w:rsid w:val="00A45C27"/>
    <w:rsid w:val="00A45CC5"/>
    <w:rsid w:val="00A460D8"/>
    <w:rsid w:val="00A46CFF"/>
    <w:rsid w:val="00A46DB1"/>
    <w:rsid w:val="00A4712C"/>
    <w:rsid w:val="00A47D7A"/>
    <w:rsid w:val="00A50ED9"/>
    <w:rsid w:val="00A51CFB"/>
    <w:rsid w:val="00A52828"/>
    <w:rsid w:val="00A52F10"/>
    <w:rsid w:val="00A5430E"/>
    <w:rsid w:val="00A54A12"/>
    <w:rsid w:val="00A54AF1"/>
    <w:rsid w:val="00A54C56"/>
    <w:rsid w:val="00A54D1C"/>
    <w:rsid w:val="00A56838"/>
    <w:rsid w:val="00A5691A"/>
    <w:rsid w:val="00A574A1"/>
    <w:rsid w:val="00A577FE"/>
    <w:rsid w:val="00A60131"/>
    <w:rsid w:val="00A603B2"/>
    <w:rsid w:val="00A6049A"/>
    <w:rsid w:val="00A6111B"/>
    <w:rsid w:val="00A622DB"/>
    <w:rsid w:val="00A62747"/>
    <w:rsid w:val="00A62F6F"/>
    <w:rsid w:val="00A638D1"/>
    <w:rsid w:val="00A63AD2"/>
    <w:rsid w:val="00A64308"/>
    <w:rsid w:val="00A6454F"/>
    <w:rsid w:val="00A64DDB"/>
    <w:rsid w:val="00A64F7F"/>
    <w:rsid w:val="00A65DE7"/>
    <w:rsid w:val="00A6649A"/>
    <w:rsid w:val="00A66F63"/>
    <w:rsid w:val="00A67404"/>
    <w:rsid w:val="00A701DC"/>
    <w:rsid w:val="00A70B30"/>
    <w:rsid w:val="00A70CFA"/>
    <w:rsid w:val="00A718E0"/>
    <w:rsid w:val="00A7334F"/>
    <w:rsid w:val="00A73D0C"/>
    <w:rsid w:val="00A73E5D"/>
    <w:rsid w:val="00A748F1"/>
    <w:rsid w:val="00A74D2E"/>
    <w:rsid w:val="00A7538C"/>
    <w:rsid w:val="00A75D9D"/>
    <w:rsid w:val="00A75FD9"/>
    <w:rsid w:val="00A76A1B"/>
    <w:rsid w:val="00A76BA8"/>
    <w:rsid w:val="00A76D4A"/>
    <w:rsid w:val="00A7795C"/>
    <w:rsid w:val="00A8016D"/>
    <w:rsid w:val="00A80174"/>
    <w:rsid w:val="00A808E5"/>
    <w:rsid w:val="00A810DA"/>
    <w:rsid w:val="00A81EAF"/>
    <w:rsid w:val="00A82DBC"/>
    <w:rsid w:val="00A834CF"/>
    <w:rsid w:val="00A86378"/>
    <w:rsid w:val="00A86C5B"/>
    <w:rsid w:val="00A87261"/>
    <w:rsid w:val="00A90724"/>
    <w:rsid w:val="00A90742"/>
    <w:rsid w:val="00A9078B"/>
    <w:rsid w:val="00A9168A"/>
    <w:rsid w:val="00A916BF"/>
    <w:rsid w:val="00A93808"/>
    <w:rsid w:val="00A93830"/>
    <w:rsid w:val="00A9397C"/>
    <w:rsid w:val="00A93BAB"/>
    <w:rsid w:val="00A93C25"/>
    <w:rsid w:val="00A94151"/>
    <w:rsid w:val="00A94DBB"/>
    <w:rsid w:val="00A95469"/>
    <w:rsid w:val="00A96509"/>
    <w:rsid w:val="00A9650C"/>
    <w:rsid w:val="00A965BA"/>
    <w:rsid w:val="00A96A2F"/>
    <w:rsid w:val="00A96ADC"/>
    <w:rsid w:val="00A97162"/>
    <w:rsid w:val="00A97E19"/>
    <w:rsid w:val="00AA0540"/>
    <w:rsid w:val="00AA085A"/>
    <w:rsid w:val="00AA0DDE"/>
    <w:rsid w:val="00AA11EB"/>
    <w:rsid w:val="00AA1A33"/>
    <w:rsid w:val="00AA1B5A"/>
    <w:rsid w:val="00AA1D20"/>
    <w:rsid w:val="00AA2E16"/>
    <w:rsid w:val="00AA2FD8"/>
    <w:rsid w:val="00AA3131"/>
    <w:rsid w:val="00AA33E7"/>
    <w:rsid w:val="00AA3906"/>
    <w:rsid w:val="00AA4143"/>
    <w:rsid w:val="00AA45BC"/>
    <w:rsid w:val="00AA477B"/>
    <w:rsid w:val="00AA5A20"/>
    <w:rsid w:val="00AA5ECF"/>
    <w:rsid w:val="00AA6324"/>
    <w:rsid w:val="00AA6BD2"/>
    <w:rsid w:val="00AA74BB"/>
    <w:rsid w:val="00AA77E5"/>
    <w:rsid w:val="00AA7921"/>
    <w:rsid w:val="00AA7B4E"/>
    <w:rsid w:val="00AB0DDC"/>
    <w:rsid w:val="00AB1348"/>
    <w:rsid w:val="00AB2381"/>
    <w:rsid w:val="00AB3275"/>
    <w:rsid w:val="00AB3B20"/>
    <w:rsid w:val="00AB3E4A"/>
    <w:rsid w:val="00AB434E"/>
    <w:rsid w:val="00AB4C53"/>
    <w:rsid w:val="00AB6461"/>
    <w:rsid w:val="00AB6489"/>
    <w:rsid w:val="00AB6840"/>
    <w:rsid w:val="00AB6F97"/>
    <w:rsid w:val="00AB6FDC"/>
    <w:rsid w:val="00AB724D"/>
    <w:rsid w:val="00AB73B8"/>
    <w:rsid w:val="00AB747C"/>
    <w:rsid w:val="00AB7B77"/>
    <w:rsid w:val="00AC013E"/>
    <w:rsid w:val="00AC0152"/>
    <w:rsid w:val="00AC056E"/>
    <w:rsid w:val="00AC09C3"/>
    <w:rsid w:val="00AC235F"/>
    <w:rsid w:val="00AC296B"/>
    <w:rsid w:val="00AC2D8B"/>
    <w:rsid w:val="00AC30C9"/>
    <w:rsid w:val="00AC3753"/>
    <w:rsid w:val="00AC3A74"/>
    <w:rsid w:val="00AC47A8"/>
    <w:rsid w:val="00AC4E48"/>
    <w:rsid w:val="00AC5311"/>
    <w:rsid w:val="00AC5BAA"/>
    <w:rsid w:val="00AD0040"/>
    <w:rsid w:val="00AD0790"/>
    <w:rsid w:val="00AD1E32"/>
    <w:rsid w:val="00AD26AC"/>
    <w:rsid w:val="00AD3B35"/>
    <w:rsid w:val="00AD4953"/>
    <w:rsid w:val="00AD5563"/>
    <w:rsid w:val="00AD5800"/>
    <w:rsid w:val="00AD5F38"/>
    <w:rsid w:val="00AD6198"/>
    <w:rsid w:val="00AD665B"/>
    <w:rsid w:val="00AD66DF"/>
    <w:rsid w:val="00AD6CB5"/>
    <w:rsid w:val="00AD6E1D"/>
    <w:rsid w:val="00AD7701"/>
    <w:rsid w:val="00AD7B93"/>
    <w:rsid w:val="00AE095E"/>
    <w:rsid w:val="00AE0DE9"/>
    <w:rsid w:val="00AE0E63"/>
    <w:rsid w:val="00AE1229"/>
    <w:rsid w:val="00AE1602"/>
    <w:rsid w:val="00AE1A0B"/>
    <w:rsid w:val="00AE214D"/>
    <w:rsid w:val="00AE2B21"/>
    <w:rsid w:val="00AE2C9F"/>
    <w:rsid w:val="00AE2CB9"/>
    <w:rsid w:val="00AE2CC4"/>
    <w:rsid w:val="00AE392E"/>
    <w:rsid w:val="00AE3FF7"/>
    <w:rsid w:val="00AE477A"/>
    <w:rsid w:val="00AE49C5"/>
    <w:rsid w:val="00AE4F14"/>
    <w:rsid w:val="00AE632A"/>
    <w:rsid w:val="00AE70D6"/>
    <w:rsid w:val="00AE73C2"/>
    <w:rsid w:val="00AF0688"/>
    <w:rsid w:val="00AF07C6"/>
    <w:rsid w:val="00AF2DB1"/>
    <w:rsid w:val="00AF33E7"/>
    <w:rsid w:val="00AF389F"/>
    <w:rsid w:val="00AF3947"/>
    <w:rsid w:val="00AF405F"/>
    <w:rsid w:val="00AF4562"/>
    <w:rsid w:val="00AF572B"/>
    <w:rsid w:val="00AF77ED"/>
    <w:rsid w:val="00AF7991"/>
    <w:rsid w:val="00AF7F3E"/>
    <w:rsid w:val="00B003AD"/>
    <w:rsid w:val="00B00CAC"/>
    <w:rsid w:val="00B012CD"/>
    <w:rsid w:val="00B0203D"/>
    <w:rsid w:val="00B02AA5"/>
    <w:rsid w:val="00B03883"/>
    <w:rsid w:val="00B03C5A"/>
    <w:rsid w:val="00B03CA3"/>
    <w:rsid w:val="00B0433D"/>
    <w:rsid w:val="00B0696B"/>
    <w:rsid w:val="00B06DDF"/>
    <w:rsid w:val="00B06E59"/>
    <w:rsid w:val="00B07281"/>
    <w:rsid w:val="00B0740C"/>
    <w:rsid w:val="00B07709"/>
    <w:rsid w:val="00B10B46"/>
    <w:rsid w:val="00B118A0"/>
    <w:rsid w:val="00B12817"/>
    <w:rsid w:val="00B1288E"/>
    <w:rsid w:val="00B12E76"/>
    <w:rsid w:val="00B13B97"/>
    <w:rsid w:val="00B14B71"/>
    <w:rsid w:val="00B1651A"/>
    <w:rsid w:val="00B20978"/>
    <w:rsid w:val="00B20AAB"/>
    <w:rsid w:val="00B20DAF"/>
    <w:rsid w:val="00B2159A"/>
    <w:rsid w:val="00B22032"/>
    <w:rsid w:val="00B228EC"/>
    <w:rsid w:val="00B232C2"/>
    <w:rsid w:val="00B23734"/>
    <w:rsid w:val="00B23A83"/>
    <w:rsid w:val="00B2404D"/>
    <w:rsid w:val="00B24770"/>
    <w:rsid w:val="00B2494A"/>
    <w:rsid w:val="00B25AC2"/>
    <w:rsid w:val="00B25D90"/>
    <w:rsid w:val="00B25EBF"/>
    <w:rsid w:val="00B26C6D"/>
    <w:rsid w:val="00B26E1B"/>
    <w:rsid w:val="00B27DE0"/>
    <w:rsid w:val="00B3080C"/>
    <w:rsid w:val="00B3087F"/>
    <w:rsid w:val="00B30AC6"/>
    <w:rsid w:val="00B30BBA"/>
    <w:rsid w:val="00B32296"/>
    <w:rsid w:val="00B32584"/>
    <w:rsid w:val="00B3295A"/>
    <w:rsid w:val="00B32988"/>
    <w:rsid w:val="00B32B90"/>
    <w:rsid w:val="00B3317B"/>
    <w:rsid w:val="00B33A2C"/>
    <w:rsid w:val="00B33F5D"/>
    <w:rsid w:val="00B3478D"/>
    <w:rsid w:val="00B365F4"/>
    <w:rsid w:val="00B36611"/>
    <w:rsid w:val="00B36F3A"/>
    <w:rsid w:val="00B37677"/>
    <w:rsid w:val="00B377BB"/>
    <w:rsid w:val="00B37BAE"/>
    <w:rsid w:val="00B37D2E"/>
    <w:rsid w:val="00B37E5E"/>
    <w:rsid w:val="00B37F70"/>
    <w:rsid w:val="00B40B34"/>
    <w:rsid w:val="00B4295B"/>
    <w:rsid w:val="00B42BC2"/>
    <w:rsid w:val="00B44206"/>
    <w:rsid w:val="00B4430F"/>
    <w:rsid w:val="00B44FE0"/>
    <w:rsid w:val="00B4518C"/>
    <w:rsid w:val="00B453FA"/>
    <w:rsid w:val="00B460B3"/>
    <w:rsid w:val="00B468C4"/>
    <w:rsid w:val="00B469C9"/>
    <w:rsid w:val="00B47576"/>
    <w:rsid w:val="00B475F6"/>
    <w:rsid w:val="00B47684"/>
    <w:rsid w:val="00B4792A"/>
    <w:rsid w:val="00B502D5"/>
    <w:rsid w:val="00B50501"/>
    <w:rsid w:val="00B50DDD"/>
    <w:rsid w:val="00B50F2A"/>
    <w:rsid w:val="00B5222A"/>
    <w:rsid w:val="00B52374"/>
    <w:rsid w:val="00B52929"/>
    <w:rsid w:val="00B534DE"/>
    <w:rsid w:val="00B53FFF"/>
    <w:rsid w:val="00B54C6D"/>
    <w:rsid w:val="00B54FC7"/>
    <w:rsid w:val="00B54FE3"/>
    <w:rsid w:val="00B555E6"/>
    <w:rsid w:val="00B55A8F"/>
    <w:rsid w:val="00B56562"/>
    <w:rsid w:val="00B60673"/>
    <w:rsid w:val="00B607A6"/>
    <w:rsid w:val="00B60FFB"/>
    <w:rsid w:val="00B612FD"/>
    <w:rsid w:val="00B61CAD"/>
    <w:rsid w:val="00B626A0"/>
    <w:rsid w:val="00B62982"/>
    <w:rsid w:val="00B62C4A"/>
    <w:rsid w:val="00B62FCD"/>
    <w:rsid w:val="00B6303B"/>
    <w:rsid w:val="00B630AB"/>
    <w:rsid w:val="00B63436"/>
    <w:rsid w:val="00B63823"/>
    <w:rsid w:val="00B64F4A"/>
    <w:rsid w:val="00B651A9"/>
    <w:rsid w:val="00B65763"/>
    <w:rsid w:val="00B6638D"/>
    <w:rsid w:val="00B66476"/>
    <w:rsid w:val="00B668CE"/>
    <w:rsid w:val="00B6778D"/>
    <w:rsid w:val="00B67E6B"/>
    <w:rsid w:val="00B7045F"/>
    <w:rsid w:val="00B70500"/>
    <w:rsid w:val="00B71121"/>
    <w:rsid w:val="00B72654"/>
    <w:rsid w:val="00B7277C"/>
    <w:rsid w:val="00B7339F"/>
    <w:rsid w:val="00B735EA"/>
    <w:rsid w:val="00B737D9"/>
    <w:rsid w:val="00B73FF3"/>
    <w:rsid w:val="00B74049"/>
    <w:rsid w:val="00B7565E"/>
    <w:rsid w:val="00B75A3E"/>
    <w:rsid w:val="00B76BA1"/>
    <w:rsid w:val="00B77431"/>
    <w:rsid w:val="00B7749C"/>
    <w:rsid w:val="00B77584"/>
    <w:rsid w:val="00B81533"/>
    <w:rsid w:val="00B816B1"/>
    <w:rsid w:val="00B8226A"/>
    <w:rsid w:val="00B82928"/>
    <w:rsid w:val="00B8343B"/>
    <w:rsid w:val="00B837DB"/>
    <w:rsid w:val="00B83FA4"/>
    <w:rsid w:val="00B840E4"/>
    <w:rsid w:val="00B8437B"/>
    <w:rsid w:val="00B87601"/>
    <w:rsid w:val="00B87928"/>
    <w:rsid w:val="00B87A1B"/>
    <w:rsid w:val="00B87AB2"/>
    <w:rsid w:val="00B87E5E"/>
    <w:rsid w:val="00B917C4"/>
    <w:rsid w:val="00B92198"/>
    <w:rsid w:val="00B92607"/>
    <w:rsid w:val="00B92C96"/>
    <w:rsid w:val="00B92E65"/>
    <w:rsid w:val="00B939E6"/>
    <w:rsid w:val="00B9466E"/>
    <w:rsid w:val="00B94987"/>
    <w:rsid w:val="00B955C8"/>
    <w:rsid w:val="00B95611"/>
    <w:rsid w:val="00B95937"/>
    <w:rsid w:val="00B963C6"/>
    <w:rsid w:val="00B97012"/>
    <w:rsid w:val="00B972C3"/>
    <w:rsid w:val="00B9793C"/>
    <w:rsid w:val="00BA0465"/>
    <w:rsid w:val="00BA053C"/>
    <w:rsid w:val="00BA0C1B"/>
    <w:rsid w:val="00BA219F"/>
    <w:rsid w:val="00BA30F9"/>
    <w:rsid w:val="00BA3D5D"/>
    <w:rsid w:val="00BA4415"/>
    <w:rsid w:val="00BA4AB5"/>
    <w:rsid w:val="00BA51C4"/>
    <w:rsid w:val="00BA5542"/>
    <w:rsid w:val="00BA69B2"/>
    <w:rsid w:val="00BA6D16"/>
    <w:rsid w:val="00BA77A7"/>
    <w:rsid w:val="00BA78FF"/>
    <w:rsid w:val="00BA7DDB"/>
    <w:rsid w:val="00BB051F"/>
    <w:rsid w:val="00BB087B"/>
    <w:rsid w:val="00BB22ED"/>
    <w:rsid w:val="00BB2D62"/>
    <w:rsid w:val="00BB35BE"/>
    <w:rsid w:val="00BB3B84"/>
    <w:rsid w:val="00BB3CC1"/>
    <w:rsid w:val="00BB4301"/>
    <w:rsid w:val="00BB43EF"/>
    <w:rsid w:val="00BB445D"/>
    <w:rsid w:val="00BB4AFF"/>
    <w:rsid w:val="00BB4CD1"/>
    <w:rsid w:val="00BB6B2C"/>
    <w:rsid w:val="00BB715B"/>
    <w:rsid w:val="00BB7A24"/>
    <w:rsid w:val="00BB7C39"/>
    <w:rsid w:val="00BC0129"/>
    <w:rsid w:val="00BC0598"/>
    <w:rsid w:val="00BC0F75"/>
    <w:rsid w:val="00BC11DE"/>
    <w:rsid w:val="00BC1263"/>
    <w:rsid w:val="00BC1CC5"/>
    <w:rsid w:val="00BC2477"/>
    <w:rsid w:val="00BC2575"/>
    <w:rsid w:val="00BC2AA1"/>
    <w:rsid w:val="00BC312E"/>
    <w:rsid w:val="00BC36F8"/>
    <w:rsid w:val="00BC38B8"/>
    <w:rsid w:val="00BC3E39"/>
    <w:rsid w:val="00BC3FC9"/>
    <w:rsid w:val="00BC4BC8"/>
    <w:rsid w:val="00BC4DD7"/>
    <w:rsid w:val="00BC580B"/>
    <w:rsid w:val="00BC5D26"/>
    <w:rsid w:val="00BC6D5B"/>
    <w:rsid w:val="00BD013D"/>
    <w:rsid w:val="00BD16AD"/>
    <w:rsid w:val="00BD16E3"/>
    <w:rsid w:val="00BD2052"/>
    <w:rsid w:val="00BD2080"/>
    <w:rsid w:val="00BD2B01"/>
    <w:rsid w:val="00BD2F67"/>
    <w:rsid w:val="00BD3411"/>
    <w:rsid w:val="00BD5530"/>
    <w:rsid w:val="00BD5560"/>
    <w:rsid w:val="00BD5561"/>
    <w:rsid w:val="00BD5921"/>
    <w:rsid w:val="00BD5DB8"/>
    <w:rsid w:val="00BD5E8D"/>
    <w:rsid w:val="00BD6409"/>
    <w:rsid w:val="00BD6BD5"/>
    <w:rsid w:val="00BE02A5"/>
    <w:rsid w:val="00BE0840"/>
    <w:rsid w:val="00BE0C05"/>
    <w:rsid w:val="00BE0DFC"/>
    <w:rsid w:val="00BE1435"/>
    <w:rsid w:val="00BE1C1B"/>
    <w:rsid w:val="00BE2B4B"/>
    <w:rsid w:val="00BE2FE6"/>
    <w:rsid w:val="00BE356D"/>
    <w:rsid w:val="00BE4F4E"/>
    <w:rsid w:val="00BE4F8E"/>
    <w:rsid w:val="00BE6DD7"/>
    <w:rsid w:val="00BE7760"/>
    <w:rsid w:val="00BF06B3"/>
    <w:rsid w:val="00BF184B"/>
    <w:rsid w:val="00BF1E59"/>
    <w:rsid w:val="00BF2369"/>
    <w:rsid w:val="00BF3667"/>
    <w:rsid w:val="00BF3826"/>
    <w:rsid w:val="00BF4086"/>
    <w:rsid w:val="00BF521C"/>
    <w:rsid w:val="00BF5CF7"/>
    <w:rsid w:val="00BF62E0"/>
    <w:rsid w:val="00BF638B"/>
    <w:rsid w:val="00BF651B"/>
    <w:rsid w:val="00BF6B94"/>
    <w:rsid w:val="00BF79AF"/>
    <w:rsid w:val="00C018DB"/>
    <w:rsid w:val="00C037F1"/>
    <w:rsid w:val="00C03B14"/>
    <w:rsid w:val="00C04861"/>
    <w:rsid w:val="00C04B65"/>
    <w:rsid w:val="00C05115"/>
    <w:rsid w:val="00C0598A"/>
    <w:rsid w:val="00C0628C"/>
    <w:rsid w:val="00C06A49"/>
    <w:rsid w:val="00C06BFF"/>
    <w:rsid w:val="00C06C62"/>
    <w:rsid w:val="00C0701D"/>
    <w:rsid w:val="00C07B62"/>
    <w:rsid w:val="00C10065"/>
    <w:rsid w:val="00C105E8"/>
    <w:rsid w:val="00C10A1D"/>
    <w:rsid w:val="00C11437"/>
    <w:rsid w:val="00C11549"/>
    <w:rsid w:val="00C11650"/>
    <w:rsid w:val="00C1199E"/>
    <w:rsid w:val="00C12BB1"/>
    <w:rsid w:val="00C133FA"/>
    <w:rsid w:val="00C134FA"/>
    <w:rsid w:val="00C13B8C"/>
    <w:rsid w:val="00C15776"/>
    <w:rsid w:val="00C16DBA"/>
    <w:rsid w:val="00C17281"/>
    <w:rsid w:val="00C17525"/>
    <w:rsid w:val="00C17741"/>
    <w:rsid w:val="00C17A5E"/>
    <w:rsid w:val="00C2096C"/>
    <w:rsid w:val="00C20C4C"/>
    <w:rsid w:val="00C20D65"/>
    <w:rsid w:val="00C241FB"/>
    <w:rsid w:val="00C25583"/>
    <w:rsid w:val="00C2634B"/>
    <w:rsid w:val="00C267A3"/>
    <w:rsid w:val="00C26E95"/>
    <w:rsid w:val="00C27BD6"/>
    <w:rsid w:val="00C3090B"/>
    <w:rsid w:val="00C30F2B"/>
    <w:rsid w:val="00C31134"/>
    <w:rsid w:val="00C31CE7"/>
    <w:rsid w:val="00C32557"/>
    <w:rsid w:val="00C32F63"/>
    <w:rsid w:val="00C33F66"/>
    <w:rsid w:val="00C34421"/>
    <w:rsid w:val="00C35633"/>
    <w:rsid w:val="00C3566A"/>
    <w:rsid w:val="00C35869"/>
    <w:rsid w:val="00C35CD8"/>
    <w:rsid w:val="00C36172"/>
    <w:rsid w:val="00C40487"/>
    <w:rsid w:val="00C40FC5"/>
    <w:rsid w:val="00C40FE9"/>
    <w:rsid w:val="00C41624"/>
    <w:rsid w:val="00C416C9"/>
    <w:rsid w:val="00C41ADF"/>
    <w:rsid w:val="00C431F9"/>
    <w:rsid w:val="00C4358F"/>
    <w:rsid w:val="00C43E42"/>
    <w:rsid w:val="00C4418C"/>
    <w:rsid w:val="00C44672"/>
    <w:rsid w:val="00C45B6A"/>
    <w:rsid w:val="00C47002"/>
    <w:rsid w:val="00C51408"/>
    <w:rsid w:val="00C52057"/>
    <w:rsid w:val="00C529D0"/>
    <w:rsid w:val="00C52D9C"/>
    <w:rsid w:val="00C52E8E"/>
    <w:rsid w:val="00C53146"/>
    <w:rsid w:val="00C5376F"/>
    <w:rsid w:val="00C537B5"/>
    <w:rsid w:val="00C541D6"/>
    <w:rsid w:val="00C5449B"/>
    <w:rsid w:val="00C54F35"/>
    <w:rsid w:val="00C5611E"/>
    <w:rsid w:val="00C5670F"/>
    <w:rsid w:val="00C57EB9"/>
    <w:rsid w:val="00C601F3"/>
    <w:rsid w:val="00C60418"/>
    <w:rsid w:val="00C61602"/>
    <w:rsid w:val="00C61F11"/>
    <w:rsid w:val="00C61F5D"/>
    <w:rsid w:val="00C62ADA"/>
    <w:rsid w:val="00C63091"/>
    <w:rsid w:val="00C63320"/>
    <w:rsid w:val="00C63625"/>
    <w:rsid w:val="00C645AA"/>
    <w:rsid w:val="00C648E2"/>
    <w:rsid w:val="00C6575B"/>
    <w:rsid w:val="00C65CDC"/>
    <w:rsid w:val="00C65EE3"/>
    <w:rsid w:val="00C66C46"/>
    <w:rsid w:val="00C67345"/>
    <w:rsid w:val="00C67B52"/>
    <w:rsid w:val="00C67CA3"/>
    <w:rsid w:val="00C708EE"/>
    <w:rsid w:val="00C70DE8"/>
    <w:rsid w:val="00C70F54"/>
    <w:rsid w:val="00C71C7E"/>
    <w:rsid w:val="00C7409D"/>
    <w:rsid w:val="00C74357"/>
    <w:rsid w:val="00C744B0"/>
    <w:rsid w:val="00C74DA4"/>
    <w:rsid w:val="00C74F72"/>
    <w:rsid w:val="00C750F0"/>
    <w:rsid w:val="00C75266"/>
    <w:rsid w:val="00C76985"/>
    <w:rsid w:val="00C77FD2"/>
    <w:rsid w:val="00C80311"/>
    <w:rsid w:val="00C80B02"/>
    <w:rsid w:val="00C80E25"/>
    <w:rsid w:val="00C819B6"/>
    <w:rsid w:val="00C81D86"/>
    <w:rsid w:val="00C83588"/>
    <w:rsid w:val="00C83B1D"/>
    <w:rsid w:val="00C84BAF"/>
    <w:rsid w:val="00C85C81"/>
    <w:rsid w:val="00C85CDD"/>
    <w:rsid w:val="00C86966"/>
    <w:rsid w:val="00C905DD"/>
    <w:rsid w:val="00C90B98"/>
    <w:rsid w:val="00C90F7E"/>
    <w:rsid w:val="00C9254D"/>
    <w:rsid w:val="00C937B7"/>
    <w:rsid w:val="00C941BD"/>
    <w:rsid w:val="00C94AAB"/>
    <w:rsid w:val="00C94E61"/>
    <w:rsid w:val="00C95D4C"/>
    <w:rsid w:val="00C95FCE"/>
    <w:rsid w:val="00C9627B"/>
    <w:rsid w:val="00C96696"/>
    <w:rsid w:val="00C9697A"/>
    <w:rsid w:val="00C9742E"/>
    <w:rsid w:val="00CA0069"/>
    <w:rsid w:val="00CA02C5"/>
    <w:rsid w:val="00CA1568"/>
    <w:rsid w:val="00CA24B3"/>
    <w:rsid w:val="00CA25AC"/>
    <w:rsid w:val="00CA2BBA"/>
    <w:rsid w:val="00CA2BCA"/>
    <w:rsid w:val="00CA3729"/>
    <w:rsid w:val="00CA3B9B"/>
    <w:rsid w:val="00CA4F77"/>
    <w:rsid w:val="00CA514E"/>
    <w:rsid w:val="00CA616F"/>
    <w:rsid w:val="00CA68F3"/>
    <w:rsid w:val="00CA6932"/>
    <w:rsid w:val="00CA6FCD"/>
    <w:rsid w:val="00CA75C8"/>
    <w:rsid w:val="00CA7B45"/>
    <w:rsid w:val="00CA7FD6"/>
    <w:rsid w:val="00CB0AB7"/>
    <w:rsid w:val="00CB0F6B"/>
    <w:rsid w:val="00CB1776"/>
    <w:rsid w:val="00CB17D7"/>
    <w:rsid w:val="00CB1EE9"/>
    <w:rsid w:val="00CB1F5A"/>
    <w:rsid w:val="00CB2D6A"/>
    <w:rsid w:val="00CB3735"/>
    <w:rsid w:val="00CB3DD7"/>
    <w:rsid w:val="00CB426A"/>
    <w:rsid w:val="00CB4339"/>
    <w:rsid w:val="00CB4F4B"/>
    <w:rsid w:val="00CB5A8F"/>
    <w:rsid w:val="00CB6AA1"/>
    <w:rsid w:val="00CB6B4A"/>
    <w:rsid w:val="00CB76FA"/>
    <w:rsid w:val="00CB7798"/>
    <w:rsid w:val="00CB7D2F"/>
    <w:rsid w:val="00CB7E0B"/>
    <w:rsid w:val="00CC0599"/>
    <w:rsid w:val="00CC1A0D"/>
    <w:rsid w:val="00CC2F73"/>
    <w:rsid w:val="00CC3C8A"/>
    <w:rsid w:val="00CC4BC8"/>
    <w:rsid w:val="00CC576E"/>
    <w:rsid w:val="00CC6C3B"/>
    <w:rsid w:val="00CC780A"/>
    <w:rsid w:val="00CC7FA7"/>
    <w:rsid w:val="00CD0C78"/>
    <w:rsid w:val="00CD157D"/>
    <w:rsid w:val="00CD1DBF"/>
    <w:rsid w:val="00CD4F66"/>
    <w:rsid w:val="00CD523C"/>
    <w:rsid w:val="00CD5481"/>
    <w:rsid w:val="00CD58EF"/>
    <w:rsid w:val="00CD61C8"/>
    <w:rsid w:val="00CD6D1F"/>
    <w:rsid w:val="00CD6F27"/>
    <w:rsid w:val="00CD77DC"/>
    <w:rsid w:val="00CE0569"/>
    <w:rsid w:val="00CE0753"/>
    <w:rsid w:val="00CE0B34"/>
    <w:rsid w:val="00CE0F49"/>
    <w:rsid w:val="00CE12F2"/>
    <w:rsid w:val="00CE1D34"/>
    <w:rsid w:val="00CE1EE5"/>
    <w:rsid w:val="00CE2968"/>
    <w:rsid w:val="00CE2A49"/>
    <w:rsid w:val="00CE3089"/>
    <w:rsid w:val="00CE5118"/>
    <w:rsid w:val="00CE5B7A"/>
    <w:rsid w:val="00CE5F17"/>
    <w:rsid w:val="00CE6131"/>
    <w:rsid w:val="00CF03F5"/>
    <w:rsid w:val="00CF0FD8"/>
    <w:rsid w:val="00CF2B11"/>
    <w:rsid w:val="00CF3000"/>
    <w:rsid w:val="00CF32CC"/>
    <w:rsid w:val="00CF4147"/>
    <w:rsid w:val="00CF461B"/>
    <w:rsid w:val="00CF497C"/>
    <w:rsid w:val="00CF4C12"/>
    <w:rsid w:val="00CF5718"/>
    <w:rsid w:val="00CF57AA"/>
    <w:rsid w:val="00CF5DC1"/>
    <w:rsid w:val="00CF61AE"/>
    <w:rsid w:val="00D0026B"/>
    <w:rsid w:val="00D00CD8"/>
    <w:rsid w:val="00D00DE5"/>
    <w:rsid w:val="00D012ED"/>
    <w:rsid w:val="00D0186C"/>
    <w:rsid w:val="00D02657"/>
    <w:rsid w:val="00D02BD0"/>
    <w:rsid w:val="00D02BD1"/>
    <w:rsid w:val="00D03178"/>
    <w:rsid w:val="00D04B6C"/>
    <w:rsid w:val="00D05527"/>
    <w:rsid w:val="00D05FCB"/>
    <w:rsid w:val="00D06242"/>
    <w:rsid w:val="00D065A5"/>
    <w:rsid w:val="00D069FF"/>
    <w:rsid w:val="00D06B05"/>
    <w:rsid w:val="00D06C41"/>
    <w:rsid w:val="00D0720A"/>
    <w:rsid w:val="00D072F1"/>
    <w:rsid w:val="00D10743"/>
    <w:rsid w:val="00D120EC"/>
    <w:rsid w:val="00D128ED"/>
    <w:rsid w:val="00D12C1E"/>
    <w:rsid w:val="00D140FB"/>
    <w:rsid w:val="00D14C79"/>
    <w:rsid w:val="00D14CAB"/>
    <w:rsid w:val="00D1594B"/>
    <w:rsid w:val="00D15FD6"/>
    <w:rsid w:val="00D1663B"/>
    <w:rsid w:val="00D169A7"/>
    <w:rsid w:val="00D178B6"/>
    <w:rsid w:val="00D17ACA"/>
    <w:rsid w:val="00D20408"/>
    <w:rsid w:val="00D208DA"/>
    <w:rsid w:val="00D21110"/>
    <w:rsid w:val="00D23B18"/>
    <w:rsid w:val="00D24112"/>
    <w:rsid w:val="00D25D77"/>
    <w:rsid w:val="00D25FCD"/>
    <w:rsid w:val="00D2686A"/>
    <w:rsid w:val="00D26CF0"/>
    <w:rsid w:val="00D272A1"/>
    <w:rsid w:val="00D2745A"/>
    <w:rsid w:val="00D27505"/>
    <w:rsid w:val="00D2794B"/>
    <w:rsid w:val="00D27DF6"/>
    <w:rsid w:val="00D305E1"/>
    <w:rsid w:val="00D31BBD"/>
    <w:rsid w:val="00D31F57"/>
    <w:rsid w:val="00D32412"/>
    <w:rsid w:val="00D329C8"/>
    <w:rsid w:val="00D32C56"/>
    <w:rsid w:val="00D32E24"/>
    <w:rsid w:val="00D33A22"/>
    <w:rsid w:val="00D343ED"/>
    <w:rsid w:val="00D3522E"/>
    <w:rsid w:val="00D355FA"/>
    <w:rsid w:val="00D359A0"/>
    <w:rsid w:val="00D35A1B"/>
    <w:rsid w:val="00D35DD5"/>
    <w:rsid w:val="00D361B8"/>
    <w:rsid w:val="00D3652F"/>
    <w:rsid w:val="00D3669C"/>
    <w:rsid w:val="00D36AE2"/>
    <w:rsid w:val="00D36AEC"/>
    <w:rsid w:val="00D37968"/>
    <w:rsid w:val="00D37FE9"/>
    <w:rsid w:val="00D40AED"/>
    <w:rsid w:val="00D411DC"/>
    <w:rsid w:val="00D4391C"/>
    <w:rsid w:val="00D443C3"/>
    <w:rsid w:val="00D44BAF"/>
    <w:rsid w:val="00D450E0"/>
    <w:rsid w:val="00D45E64"/>
    <w:rsid w:val="00D47171"/>
    <w:rsid w:val="00D4795C"/>
    <w:rsid w:val="00D52A2A"/>
    <w:rsid w:val="00D52BC8"/>
    <w:rsid w:val="00D5418E"/>
    <w:rsid w:val="00D5496A"/>
    <w:rsid w:val="00D557AF"/>
    <w:rsid w:val="00D55946"/>
    <w:rsid w:val="00D568D7"/>
    <w:rsid w:val="00D56931"/>
    <w:rsid w:val="00D569B1"/>
    <w:rsid w:val="00D56DB8"/>
    <w:rsid w:val="00D57074"/>
    <w:rsid w:val="00D57F66"/>
    <w:rsid w:val="00D60263"/>
    <w:rsid w:val="00D606FC"/>
    <w:rsid w:val="00D60B7A"/>
    <w:rsid w:val="00D63709"/>
    <w:rsid w:val="00D63879"/>
    <w:rsid w:val="00D63AAF"/>
    <w:rsid w:val="00D64EB1"/>
    <w:rsid w:val="00D65042"/>
    <w:rsid w:val="00D65144"/>
    <w:rsid w:val="00D65668"/>
    <w:rsid w:val="00D672FC"/>
    <w:rsid w:val="00D677C2"/>
    <w:rsid w:val="00D67976"/>
    <w:rsid w:val="00D6797F"/>
    <w:rsid w:val="00D70592"/>
    <w:rsid w:val="00D706E3"/>
    <w:rsid w:val="00D721FD"/>
    <w:rsid w:val="00D72987"/>
    <w:rsid w:val="00D7308F"/>
    <w:rsid w:val="00D737BF"/>
    <w:rsid w:val="00D73FBC"/>
    <w:rsid w:val="00D74204"/>
    <w:rsid w:val="00D74810"/>
    <w:rsid w:val="00D76357"/>
    <w:rsid w:val="00D76973"/>
    <w:rsid w:val="00D76D98"/>
    <w:rsid w:val="00D76DC7"/>
    <w:rsid w:val="00D779C3"/>
    <w:rsid w:val="00D77BA2"/>
    <w:rsid w:val="00D77DF4"/>
    <w:rsid w:val="00D808A7"/>
    <w:rsid w:val="00D81745"/>
    <w:rsid w:val="00D81752"/>
    <w:rsid w:val="00D81FFA"/>
    <w:rsid w:val="00D8243E"/>
    <w:rsid w:val="00D829B5"/>
    <w:rsid w:val="00D83598"/>
    <w:rsid w:val="00D8383B"/>
    <w:rsid w:val="00D85217"/>
    <w:rsid w:val="00D86527"/>
    <w:rsid w:val="00D8668F"/>
    <w:rsid w:val="00D8704A"/>
    <w:rsid w:val="00D871B2"/>
    <w:rsid w:val="00D87545"/>
    <w:rsid w:val="00D87918"/>
    <w:rsid w:val="00D913EF"/>
    <w:rsid w:val="00D914F6"/>
    <w:rsid w:val="00D91726"/>
    <w:rsid w:val="00D9183D"/>
    <w:rsid w:val="00D918A6"/>
    <w:rsid w:val="00D92274"/>
    <w:rsid w:val="00D9284F"/>
    <w:rsid w:val="00D92F52"/>
    <w:rsid w:val="00D951DB"/>
    <w:rsid w:val="00D95235"/>
    <w:rsid w:val="00D95759"/>
    <w:rsid w:val="00D95B5F"/>
    <w:rsid w:val="00D96B90"/>
    <w:rsid w:val="00DA0923"/>
    <w:rsid w:val="00DA0C57"/>
    <w:rsid w:val="00DA112C"/>
    <w:rsid w:val="00DA1D9C"/>
    <w:rsid w:val="00DA2A0F"/>
    <w:rsid w:val="00DA2D5C"/>
    <w:rsid w:val="00DA3095"/>
    <w:rsid w:val="00DA34C4"/>
    <w:rsid w:val="00DA3E14"/>
    <w:rsid w:val="00DA54CD"/>
    <w:rsid w:val="00DA554C"/>
    <w:rsid w:val="00DA5801"/>
    <w:rsid w:val="00DA5E21"/>
    <w:rsid w:val="00DA6FA8"/>
    <w:rsid w:val="00DA7348"/>
    <w:rsid w:val="00DB013F"/>
    <w:rsid w:val="00DB0482"/>
    <w:rsid w:val="00DB070A"/>
    <w:rsid w:val="00DB0DC2"/>
    <w:rsid w:val="00DB1582"/>
    <w:rsid w:val="00DB18BA"/>
    <w:rsid w:val="00DB1950"/>
    <w:rsid w:val="00DB1BBB"/>
    <w:rsid w:val="00DB1C29"/>
    <w:rsid w:val="00DB251E"/>
    <w:rsid w:val="00DB25FA"/>
    <w:rsid w:val="00DB2BCA"/>
    <w:rsid w:val="00DB4FF3"/>
    <w:rsid w:val="00DB517F"/>
    <w:rsid w:val="00DB7E32"/>
    <w:rsid w:val="00DB7FEB"/>
    <w:rsid w:val="00DC0CEF"/>
    <w:rsid w:val="00DC0D2B"/>
    <w:rsid w:val="00DC19FF"/>
    <w:rsid w:val="00DC27CD"/>
    <w:rsid w:val="00DC2B4B"/>
    <w:rsid w:val="00DC35FD"/>
    <w:rsid w:val="00DC3616"/>
    <w:rsid w:val="00DC6276"/>
    <w:rsid w:val="00DC6992"/>
    <w:rsid w:val="00DC73B2"/>
    <w:rsid w:val="00DC75A1"/>
    <w:rsid w:val="00DC7ACC"/>
    <w:rsid w:val="00DD0123"/>
    <w:rsid w:val="00DD0437"/>
    <w:rsid w:val="00DD05D1"/>
    <w:rsid w:val="00DD0CC2"/>
    <w:rsid w:val="00DD1180"/>
    <w:rsid w:val="00DD14FE"/>
    <w:rsid w:val="00DD26E0"/>
    <w:rsid w:val="00DD2FE9"/>
    <w:rsid w:val="00DD3E9D"/>
    <w:rsid w:val="00DD44B1"/>
    <w:rsid w:val="00DD46B4"/>
    <w:rsid w:val="00DD53C9"/>
    <w:rsid w:val="00DD650E"/>
    <w:rsid w:val="00DD6BD9"/>
    <w:rsid w:val="00DD6C96"/>
    <w:rsid w:val="00DD71D2"/>
    <w:rsid w:val="00DD71EF"/>
    <w:rsid w:val="00DE0DE0"/>
    <w:rsid w:val="00DE0E66"/>
    <w:rsid w:val="00DE1954"/>
    <w:rsid w:val="00DE2AF8"/>
    <w:rsid w:val="00DE3409"/>
    <w:rsid w:val="00DE4834"/>
    <w:rsid w:val="00DE59F3"/>
    <w:rsid w:val="00DE6177"/>
    <w:rsid w:val="00DE6CD3"/>
    <w:rsid w:val="00DE6E45"/>
    <w:rsid w:val="00DE6FED"/>
    <w:rsid w:val="00DE7544"/>
    <w:rsid w:val="00DE7BB2"/>
    <w:rsid w:val="00DF0644"/>
    <w:rsid w:val="00DF1065"/>
    <w:rsid w:val="00DF12C9"/>
    <w:rsid w:val="00DF1389"/>
    <w:rsid w:val="00DF1A3B"/>
    <w:rsid w:val="00DF1E0A"/>
    <w:rsid w:val="00DF2630"/>
    <w:rsid w:val="00DF299A"/>
    <w:rsid w:val="00DF39A0"/>
    <w:rsid w:val="00DF4204"/>
    <w:rsid w:val="00DF44AC"/>
    <w:rsid w:val="00DF53BC"/>
    <w:rsid w:val="00DF5C03"/>
    <w:rsid w:val="00DF5F61"/>
    <w:rsid w:val="00E00312"/>
    <w:rsid w:val="00E0073B"/>
    <w:rsid w:val="00E00904"/>
    <w:rsid w:val="00E00F22"/>
    <w:rsid w:val="00E013B7"/>
    <w:rsid w:val="00E019DF"/>
    <w:rsid w:val="00E01A13"/>
    <w:rsid w:val="00E02ABB"/>
    <w:rsid w:val="00E037F6"/>
    <w:rsid w:val="00E05A27"/>
    <w:rsid w:val="00E06145"/>
    <w:rsid w:val="00E06B22"/>
    <w:rsid w:val="00E102E4"/>
    <w:rsid w:val="00E107CB"/>
    <w:rsid w:val="00E1149A"/>
    <w:rsid w:val="00E11BC2"/>
    <w:rsid w:val="00E12025"/>
    <w:rsid w:val="00E1238F"/>
    <w:rsid w:val="00E131BF"/>
    <w:rsid w:val="00E13BFD"/>
    <w:rsid w:val="00E14897"/>
    <w:rsid w:val="00E14F8B"/>
    <w:rsid w:val="00E15FC1"/>
    <w:rsid w:val="00E165F8"/>
    <w:rsid w:val="00E16ECF"/>
    <w:rsid w:val="00E20037"/>
    <w:rsid w:val="00E2062A"/>
    <w:rsid w:val="00E208D6"/>
    <w:rsid w:val="00E217E9"/>
    <w:rsid w:val="00E2182E"/>
    <w:rsid w:val="00E21882"/>
    <w:rsid w:val="00E225D5"/>
    <w:rsid w:val="00E2271D"/>
    <w:rsid w:val="00E2291A"/>
    <w:rsid w:val="00E23067"/>
    <w:rsid w:val="00E24537"/>
    <w:rsid w:val="00E25DDE"/>
    <w:rsid w:val="00E25E81"/>
    <w:rsid w:val="00E26046"/>
    <w:rsid w:val="00E267B3"/>
    <w:rsid w:val="00E27174"/>
    <w:rsid w:val="00E2762A"/>
    <w:rsid w:val="00E278F8"/>
    <w:rsid w:val="00E3051C"/>
    <w:rsid w:val="00E30734"/>
    <w:rsid w:val="00E307CE"/>
    <w:rsid w:val="00E31863"/>
    <w:rsid w:val="00E32AB2"/>
    <w:rsid w:val="00E32B38"/>
    <w:rsid w:val="00E32C9F"/>
    <w:rsid w:val="00E338B7"/>
    <w:rsid w:val="00E34729"/>
    <w:rsid w:val="00E353A9"/>
    <w:rsid w:val="00E354D5"/>
    <w:rsid w:val="00E35F39"/>
    <w:rsid w:val="00E37040"/>
    <w:rsid w:val="00E4016C"/>
    <w:rsid w:val="00E41077"/>
    <w:rsid w:val="00E41644"/>
    <w:rsid w:val="00E41F3B"/>
    <w:rsid w:val="00E42412"/>
    <w:rsid w:val="00E424B4"/>
    <w:rsid w:val="00E43238"/>
    <w:rsid w:val="00E436FE"/>
    <w:rsid w:val="00E44F6D"/>
    <w:rsid w:val="00E46E38"/>
    <w:rsid w:val="00E47AB3"/>
    <w:rsid w:val="00E47AE9"/>
    <w:rsid w:val="00E47BE9"/>
    <w:rsid w:val="00E5008F"/>
    <w:rsid w:val="00E51AC8"/>
    <w:rsid w:val="00E51CC1"/>
    <w:rsid w:val="00E51D4E"/>
    <w:rsid w:val="00E5209B"/>
    <w:rsid w:val="00E52896"/>
    <w:rsid w:val="00E534CA"/>
    <w:rsid w:val="00E535A2"/>
    <w:rsid w:val="00E53A97"/>
    <w:rsid w:val="00E54218"/>
    <w:rsid w:val="00E55D10"/>
    <w:rsid w:val="00E55E0A"/>
    <w:rsid w:val="00E56DF4"/>
    <w:rsid w:val="00E575CE"/>
    <w:rsid w:val="00E57A42"/>
    <w:rsid w:val="00E60292"/>
    <w:rsid w:val="00E602A3"/>
    <w:rsid w:val="00E6042A"/>
    <w:rsid w:val="00E60796"/>
    <w:rsid w:val="00E610BB"/>
    <w:rsid w:val="00E62445"/>
    <w:rsid w:val="00E62E99"/>
    <w:rsid w:val="00E6306E"/>
    <w:rsid w:val="00E63393"/>
    <w:rsid w:val="00E64C50"/>
    <w:rsid w:val="00E64DC0"/>
    <w:rsid w:val="00E64E32"/>
    <w:rsid w:val="00E6585C"/>
    <w:rsid w:val="00E65BE9"/>
    <w:rsid w:val="00E65E15"/>
    <w:rsid w:val="00E66352"/>
    <w:rsid w:val="00E67003"/>
    <w:rsid w:val="00E67B9A"/>
    <w:rsid w:val="00E67D55"/>
    <w:rsid w:val="00E70AAB"/>
    <w:rsid w:val="00E71936"/>
    <w:rsid w:val="00E71B58"/>
    <w:rsid w:val="00E72133"/>
    <w:rsid w:val="00E72158"/>
    <w:rsid w:val="00E73DF8"/>
    <w:rsid w:val="00E73FB5"/>
    <w:rsid w:val="00E74908"/>
    <w:rsid w:val="00E74F01"/>
    <w:rsid w:val="00E757EF"/>
    <w:rsid w:val="00E76616"/>
    <w:rsid w:val="00E76E02"/>
    <w:rsid w:val="00E77440"/>
    <w:rsid w:val="00E77600"/>
    <w:rsid w:val="00E77642"/>
    <w:rsid w:val="00E77C86"/>
    <w:rsid w:val="00E80506"/>
    <w:rsid w:val="00E81512"/>
    <w:rsid w:val="00E815BA"/>
    <w:rsid w:val="00E81A27"/>
    <w:rsid w:val="00E8418B"/>
    <w:rsid w:val="00E845FC"/>
    <w:rsid w:val="00E849EA"/>
    <w:rsid w:val="00E84D59"/>
    <w:rsid w:val="00E85993"/>
    <w:rsid w:val="00E85BB4"/>
    <w:rsid w:val="00E85C1F"/>
    <w:rsid w:val="00E8608F"/>
    <w:rsid w:val="00E86177"/>
    <w:rsid w:val="00E86850"/>
    <w:rsid w:val="00E86E3A"/>
    <w:rsid w:val="00E878FB"/>
    <w:rsid w:val="00E87948"/>
    <w:rsid w:val="00E87D19"/>
    <w:rsid w:val="00E87D9B"/>
    <w:rsid w:val="00E9030D"/>
    <w:rsid w:val="00E91AEA"/>
    <w:rsid w:val="00E91DD3"/>
    <w:rsid w:val="00E92A78"/>
    <w:rsid w:val="00E93116"/>
    <w:rsid w:val="00E94D3D"/>
    <w:rsid w:val="00E95D43"/>
    <w:rsid w:val="00E967AB"/>
    <w:rsid w:val="00E96A4F"/>
    <w:rsid w:val="00E96B29"/>
    <w:rsid w:val="00E97599"/>
    <w:rsid w:val="00E978FE"/>
    <w:rsid w:val="00EA1CB8"/>
    <w:rsid w:val="00EA2772"/>
    <w:rsid w:val="00EA28E6"/>
    <w:rsid w:val="00EA2B1D"/>
    <w:rsid w:val="00EA2F07"/>
    <w:rsid w:val="00EA34FF"/>
    <w:rsid w:val="00EA360D"/>
    <w:rsid w:val="00EA3B0B"/>
    <w:rsid w:val="00EA3E73"/>
    <w:rsid w:val="00EA417F"/>
    <w:rsid w:val="00EA4C1D"/>
    <w:rsid w:val="00EA5F35"/>
    <w:rsid w:val="00EA6227"/>
    <w:rsid w:val="00EA6910"/>
    <w:rsid w:val="00EA7477"/>
    <w:rsid w:val="00EA7518"/>
    <w:rsid w:val="00EA7AE0"/>
    <w:rsid w:val="00EA7F2C"/>
    <w:rsid w:val="00EB0455"/>
    <w:rsid w:val="00EB0542"/>
    <w:rsid w:val="00EB05DB"/>
    <w:rsid w:val="00EB0C7E"/>
    <w:rsid w:val="00EB0E88"/>
    <w:rsid w:val="00EB1B00"/>
    <w:rsid w:val="00EB2C5F"/>
    <w:rsid w:val="00EB30AD"/>
    <w:rsid w:val="00EB3464"/>
    <w:rsid w:val="00EB3BB2"/>
    <w:rsid w:val="00EB3C08"/>
    <w:rsid w:val="00EB3E69"/>
    <w:rsid w:val="00EB45C4"/>
    <w:rsid w:val="00EB5193"/>
    <w:rsid w:val="00EB55EF"/>
    <w:rsid w:val="00EB5D75"/>
    <w:rsid w:val="00EB6933"/>
    <w:rsid w:val="00EB7835"/>
    <w:rsid w:val="00EC0B5A"/>
    <w:rsid w:val="00EC1C80"/>
    <w:rsid w:val="00EC2AE8"/>
    <w:rsid w:val="00EC442D"/>
    <w:rsid w:val="00EC4599"/>
    <w:rsid w:val="00EC4EF0"/>
    <w:rsid w:val="00EC517B"/>
    <w:rsid w:val="00EC6E7C"/>
    <w:rsid w:val="00EC7FE1"/>
    <w:rsid w:val="00ED172D"/>
    <w:rsid w:val="00ED2463"/>
    <w:rsid w:val="00ED4FDD"/>
    <w:rsid w:val="00ED6981"/>
    <w:rsid w:val="00ED744D"/>
    <w:rsid w:val="00ED7A25"/>
    <w:rsid w:val="00EE1230"/>
    <w:rsid w:val="00EE2FEF"/>
    <w:rsid w:val="00EE3A97"/>
    <w:rsid w:val="00EE3FFE"/>
    <w:rsid w:val="00EE4FAA"/>
    <w:rsid w:val="00EE5477"/>
    <w:rsid w:val="00EE6918"/>
    <w:rsid w:val="00EE6E37"/>
    <w:rsid w:val="00EE7210"/>
    <w:rsid w:val="00EE79BD"/>
    <w:rsid w:val="00EF2102"/>
    <w:rsid w:val="00EF3462"/>
    <w:rsid w:val="00EF3EEA"/>
    <w:rsid w:val="00EF4180"/>
    <w:rsid w:val="00EF423A"/>
    <w:rsid w:val="00EF4658"/>
    <w:rsid w:val="00EF5377"/>
    <w:rsid w:val="00EF57EF"/>
    <w:rsid w:val="00EF5A65"/>
    <w:rsid w:val="00EF5C1F"/>
    <w:rsid w:val="00EF7310"/>
    <w:rsid w:val="00F00B35"/>
    <w:rsid w:val="00F00C69"/>
    <w:rsid w:val="00F014BD"/>
    <w:rsid w:val="00F02522"/>
    <w:rsid w:val="00F02D00"/>
    <w:rsid w:val="00F03BCE"/>
    <w:rsid w:val="00F04032"/>
    <w:rsid w:val="00F06397"/>
    <w:rsid w:val="00F07421"/>
    <w:rsid w:val="00F07625"/>
    <w:rsid w:val="00F07A2E"/>
    <w:rsid w:val="00F103BF"/>
    <w:rsid w:val="00F1135E"/>
    <w:rsid w:val="00F1167E"/>
    <w:rsid w:val="00F11824"/>
    <w:rsid w:val="00F118DB"/>
    <w:rsid w:val="00F11CEF"/>
    <w:rsid w:val="00F11E2E"/>
    <w:rsid w:val="00F125C6"/>
    <w:rsid w:val="00F13111"/>
    <w:rsid w:val="00F13433"/>
    <w:rsid w:val="00F14479"/>
    <w:rsid w:val="00F144F1"/>
    <w:rsid w:val="00F148B5"/>
    <w:rsid w:val="00F16007"/>
    <w:rsid w:val="00F16662"/>
    <w:rsid w:val="00F173A7"/>
    <w:rsid w:val="00F200AD"/>
    <w:rsid w:val="00F21A78"/>
    <w:rsid w:val="00F22B16"/>
    <w:rsid w:val="00F22EE3"/>
    <w:rsid w:val="00F23F93"/>
    <w:rsid w:val="00F2506D"/>
    <w:rsid w:val="00F2570B"/>
    <w:rsid w:val="00F25E59"/>
    <w:rsid w:val="00F26273"/>
    <w:rsid w:val="00F26587"/>
    <w:rsid w:val="00F26F93"/>
    <w:rsid w:val="00F27A3D"/>
    <w:rsid w:val="00F301C3"/>
    <w:rsid w:val="00F31193"/>
    <w:rsid w:val="00F31A3D"/>
    <w:rsid w:val="00F32E31"/>
    <w:rsid w:val="00F340D8"/>
    <w:rsid w:val="00F34221"/>
    <w:rsid w:val="00F3426E"/>
    <w:rsid w:val="00F34631"/>
    <w:rsid w:val="00F34D10"/>
    <w:rsid w:val="00F34DC8"/>
    <w:rsid w:val="00F36617"/>
    <w:rsid w:val="00F36889"/>
    <w:rsid w:val="00F37E20"/>
    <w:rsid w:val="00F40EC1"/>
    <w:rsid w:val="00F40FFA"/>
    <w:rsid w:val="00F41AC8"/>
    <w:rsid w:val="00F41C64"/>
    <w:rsid w:val="00F41C88"/>
    <w:rsid w:val="00F41CC2"/>
    <w:rsid w:val="00F42712"/>
    <w:rsid w:val="00F4378B"/>
    <w:rsid w:val="00F449CE"/>
    <w:rsid w:val="00F466A6"/>
    <w:rsid w:val="00F473FB"/>
    <w:rsid w:val="00F47445"/>
    <w:rsid w:val="00F47B4C"/>
    <w:rsid w:val="00F502FB"/>
    <w:rsid w:val="00F505F3"/>
    <w:rsid w:val="00F50CA7"/>
    <w:rsid w:val="00F514F7"/>
    <w:rsid w:val="00F51B67"/>
    <w:rsid w:val="00F5208C"/>
    <w:rsid w:val="00F52BFF"/>
    <w:rsid w:val="00F52CA6"/>
    <w:rsid w:val="00F5379D"/>
    <w:rsid w:val="00F53BA2"/>
    <w:rsid w:val="00F54334"/>
    <w:rsid w:val="00F54D44"/>
    <w:rsid w:val="00F54F2E"/>
    <w:rsid w:val="00F55003"/>
    <w:rsid w:val="00F55627"/>
    <w:rsid w:val="00F5571F"/>
    <w:rsid w:val="00F557BB"/>
    <w:rsid w:val="00F564F7"/>
    <w:rsid w:val="00F56DF3"/>
    <w:rsid w:val="00F57BDF"/>
    <w:rsid w:val="00F6117D"/>
    <w:rsid w:val="00F61743"/>
    <w:rsid w:val="00F62938"/>
    <w:rsid w:val="00F62B31"/>
    <w:rsid w:val="00F62DB5"/>
    <w:rsid w:val="00F62E50"/>
    <w:rsid w:val="00F66070"/>
    <w:rsid w:val="00F6619E"/>
    <w:rsid w:val="00F66AED"/>
    <w:rsid w:val="00F6725C"/>
    <w:rsid w:val="00F67C55"/>
    <w:rsid w:val="00F7093D"/>
    <w:rsid w:val="00F72445"/>
    <w:rsid w:val="00F7263D"/>
    <w:rsid w:val="00F7313E"/>
    <w:rsid w:val="00F735F5"/>
    <w:rsid w:val="00F73D9A"/>
    <w:rsid w:val="00F74166"/>
    <w:rsid w:val="00F75006"/>
    <w:rsid w:val="00F75240"/>
    <w:rsid w:val="00F758B4"/>
    <w:rsid w:val="00F75A0C"/>
    <w:rsid w:val="00F75B3E"/>
    <w:rsid w:val="00F760B0"/>
    <w:rsid w:val="00F7669E"/>
    <w:rsid w:val="00F772D5"/>
    <w:rsid w:val="00F80211"/>
    <w:rsid w:val="00F804F2"/>
    <w:rsid w:val="00F80518"/>
    <w:rsid w:val="00F80CA9"/>
    <w:rsid w:val="00F80F20"/>
    <w:rsid w:val="00F812EE"/>
    <w:rsid w:val="00F81436"/>
    <w:rsid w:val="00F81D5C"/>
    <w:rsid w:val="00F82F95"/>
    <w:rsid w:val="00F836CE"/>
    <w:rsid w:val="00F836E7"/>
    <w:rsid w:val="00F8497B"/>
    <w:rsid w:val="00F85A39"/>
    <w:rsid w:val="00F873B0"/>
    <w:rsid w:val="00F8740E"/>
    <w:rsid w:val="00F877A7"/>
    <w:rsid w:val="00F91778"/>
    <w:rsid w:val="00F9246F"/>
    <w:rsid w:val="00F930B8"/>
    <w:rsid w:val="00F94305"/>
    <w:rsid w:val="00F94F3A"/>
    <w:rsid w:val="00F96275"/>
    <w:rsid w:val="00F9669D"/>
    <w:rsid w:val="00F969A9"/>
    <w:rsid w:val="00F96BA2"/>
    <w:rsid w:val="00F96F5E"/>
    <w:rsid w:val="00F97C9A"/>
    <w:rsid w:val="00FA0432"/>
    <w:rsid w:val="00FA05D5"/>
    <w:rsid w:val="00FA087E"/>
    <w:rsid w:val="00FA0BF3"/>
    <w:rsid w:val="00FA1804"/>
    <w:rsid w:val="00FA3C1D"/>
    <w:rsid w:val="00FA65A3"/>
    <w:rsid w:val="00FA7566"/>
    <w:rsid w:val="00FA7E62"/>
    <w:rsid w:val="00FB0270"/>
    <w:rsid w:val="00FB0CAA"/>
    <w:rsid w:val="00FB0E6E"/>
    <w:rsid w:val="00FB17E3"/>
    <w:rsid w:val="00FB1CE8"/>
    <w:rsid w:val="00FB3415"/>
    <w:rsid w:val="00FB399B"/>
    <w:rsid w:val="00FB40D1"/>
    <w:rsid w:val="00FB428C"/>
    <w:rsid w:val="00FB4565"/>
    <w:rsid w:val="00FB5947"/>
    <w:rsid w:val="00FB7F22"/>
    <w:rsid w:val="00FC074C"/>
    <w:rsid w:val="00FC0BB8"/>
    <w:rsid w:val="00FC147D"/>
    <w:rsid w:val="00FC14B6"/>
    <w:rsid w:val="00FC1C54"/>
    <w:rsid w:val="00FC1F91"/>
    <w:rsid w:val="00FC2504"/>
    <w:rsid w:val="00FC2D6F"/>
    <w:rsid w:val="00FC3380"/>
    <w:rsid w:val="00FC38C3"/>
    <w:rsid w:val="00FC39B0"/>
    <w:rsid w:val="00FC3DF6"/>
    <w:rsid w:val="00FC51A0"/>
    <w:rsid w:val="00FC55AD"/>
    <w:rsid w:val="00FC5A32"/>
    <w:rsid w:val="00FC657C"/>
    <w:rsid w:val="00FC6AD2"/>
    <w:rsid w:val="00FC7433"/>
    <w:rsid w:val="00FD0584"/>
    <w:rsid w:val="00FD142E"/>
    <w:rsid w:val="00FD194B"/>
    <w:rsid w:val="00FD1DCB"/>
    <w:rsid w:val="00FD208D"/>
    <w:rsid w:val="00FD213D"/>
    <w:rsid w:val="00FD29E2"/>
    <w:rsid w:val="00FD2D56"/>
    <w:rsid w:val="00FD3035"/>
    <w:rsid w:val="00FD3DF8"/>
    <w:rsid w:val="00FD3F4F"/>
    <w:rsid w:val="00FD43FB"/>
    <w:rsid w:val="00FD5154"/>
    <w:rsid w:val="00FD5608"/>
    <w:rsid w:val="00FD6021"/>
    <w:rsid w:val="00FD6A2C"/>
    <w:rsid w:val="00FD6BAD"/>
    <w:rsid w:val="00FD7122"/>
    <w:rsid w:val="00FD7A02"/>
    <w:rsid w:val="00FD7DC3"/>
    <w:rsid w:val="00FD7F43"/>
    <w:rsid w:val="00FE14D7"/>
    <w:rsid w:val="00FE28A3"/>
    <w:rsid w:val="00FE2AFC"/>
    <w:rsid w:val="00FE2B21"/>
    <w:rsid w:val="00FE2FEE"/>
    <w:rsid w:val="00FE33AB"/>
    <w:rsid w:val="00FE3B0D"/>
    <w:rsid w:val="00FE41D0"/>
    <w:rsid w:val="00FE4F5B"/>
    <w:rsid w:val="00FE4F7F"/>
    <w:rsid w:val="00FE5366"/>
    <w:rsid w:val="00FE59F4"/>
    <w:rsid w:val="00FE6163"/>
    <w:rsid w:val="00FE65B6"/>
    <w:rsid w:val="00FE6877"/>
    <w:rsid w:val="00FE69AA"/>
    <w:rsid w:val="00FE6A7F"/>
    <w:rsid w:val="00FE6E2C"/>
    <w:rsid w:val="00FF06E5"/>
    <w:rsid w:val="00FF0A61"/>
    <w:rsid w:val="00FF0C84"/>
    <w:rsid w:val="00FF1296"/>
    <w:rsid w:val="00FF171D"/>
    <w:rsid w:val="00FF2082"/>
    <w:rsid w:val="00FF20C7"/>
    <w:rsid w:val="00FF2215"/>
    <w:rsid w:val="00FF27BC"/>
    <w:rsid w:val="00FF27DF"/>
    <w:rsid w:val="00FF2BE5"/>
    <w:rsid w:val="00FF3812"/>
    <w:rsid w:val="00FF49AB"/>
    <w:rsid w:val="00FF5FC7"/>
    <w:rsid w:val="00FF64BB"/>
    <w:rsid w:val="00FF7E09"/>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24D2D"/>
  <w14:discardImageEditingData/>
  <w14:defaultImageDpi w14:val="32767"/>
  <w15:chartTrackingRefBased/>
  <w15:docId w15:val="{0BAB7D0E-8CA7-498C-B9FE-3108E66D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8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7B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07B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7642"/>
    <w:rPr>
      <w:sz w:val="18"/>
      <w:szCs w:val="18"/>
    </w:rPr>
  </w:style>
  <w:style w:type="paragraph" w:styleId="FootnoteText">
    <w:name w:val="footnote text"/>
    <w:basedOn w:val="Normal"/>
    <w:link w:val="FootnoteTextChar"/>
    <w:uiPriority w:val="99"/>
    <w:unhideWhenUsed/>
    <w:rsid w:val="00672FBF"/>
    <w:pPr>
      <w:keepLines/>
    </w:pPr>
  </w:style>
  <w:style w:type="character" w:customStyle="1" w:styleId="FootnoteTextChar">
    <w:name w:val="Footnote Text Char"/>
    <w:basedOn w:val="DefaultParagraphFont"/>
    <w:link w:val="FootnoteText"/>
    <w:uiPriority w:val="99"/>
    <w:rsid w:val="00E77642"/>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E77642"/>
    <w:rPr>
      <w:vertAlign w:val="superscript"/>
    </w:rPr>
  </w:style>
  <w:style w:type="paragraph" w:styleId="CommentText">
    <w:name w:val="annotation text"/>
    <w:basedOn w:val="Normal"/>
    <w:link w:val="CommentTextChar"/>
    <w:uiPriority w:val="99"/>
    <w:unhideWhenUsed/>
    <w:rsid w:val="00E77642"/>
  </w:style>
  <w:style w:type="character" w:customStyle="1" w:styleId="CommentTextChar">
    <w:name w:val="Comment Text Char"/>
    <w:basedOn w:val="DefaultParagraphFont"/>
    <w:link w:val="CommentText"/>
    <w:uiPriority w:val="99"/>
    <w:rsid w:val="00E77642"/>
    <w:rPr>
      <w:rFonts w:ascii="Times New Roman" w:hAnsi="Times New Roman" w:cs="Times New Roman"/>
      <w:sz w:val="24"/>
      <w:szCs w:val="24"/>
    </w:rPr>
  </w:style>
  <w:style w:type="character" w:styleId="Hyperlink">
    <w:name w:val="Hyperlink"/>
    <w:basedOn w:val="DefaultParagraphFont"/>
    <w:uiPriority w:val="99"/>
    <w:unhideWhenUsed/>
    <w:rsid w:val="00E77642"/>
    <w:rPr>
      <w:color w:val="0000FF"/>
      <w:u w:val="single"/>
    </w:rPr>
  </w:style>
  <w:style w:type="paragraph" w:styleId="BalloonText">
    <w:name w:val="Balloon Text"/>
    <w:basedOn w:val="Normal"/>
    <w:link w:val="BalloonTextChar"/>
    <w:uiPriority w:val="99"/>
    <w:semiHidden/>
    <w:unhideWhenUsed/>
    <w:rsid w:val="00E77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42"/>
    <w:rPr>
      <w:rFonts w:ascii="Segoe UI" w:hAnsi="Segoe UI" w:cs="Segoe UI"/>
      <w:sz w:val="18"/>
      <w:szCs w:val="18"/>
    </w:rPr>
  </w:style>
  <w:style w:type="character" w:customStyle="1" w:styleId="s3">
    <w:name w:val="s3"/>
    <w:basedOn w:val="DefaultParagraphFont"/>
    <w:rsid w:val="00980AE3"/>
  </w:style>
  <w:style w:type="paragraph" w:styleId="CommentSubject">
    <w:name w:val="annotation subject"/>
    <w:basedOn w:val="CommentText"/>
    <w:next w:val="CommentText"/>
    <w:link w:val="CommentSubjectChar"/>
    <w:uiPriority w:val="99"/>
    <w:semiHidden/>
    <w:unhideWhenUsed/>
    <w:rsid w:val="00052553"/>
    <w:rPr>
      <w:b/>
      <w:bCs/>
      <w:sz w:val="20"/>
      <w:szCs w:val="20"/>
    </w:rPr>
  </w:style>
  <w:style w:type="character" w:customStyle="1" w:styleId="CommentSubjectChar">
    <w:name w:val="Comment Subject Char"/>
    <w:basedOn w:val="CommentTextChar"/>
    <w:link w:val="CommentSubject"/>
    <w:uiPriority w:val="99"/>
    <w:semiHidden/>
    <w:rsid w:val="00052553"/>
    <w:rPr>
      <w:rFonts w:ascii="Times New Roman" w:hAnsi="Times New Roman" w:cs="Times New Roman"/>
      <w:b/>
      <w:bCs/>
      <w:sz w:val="20"/>
      <w:szCs w:val="20"/>
    </w:rPr>
  </w:style>
  <w:style w:type="paragraph" w:styleId="Title">
    <w:name w:val="Title"/>
    <w:basedOn w:val="Normal"/>
    <w:next w:val="Normal"/>
    <w:link w:val="TitleChar"/>
    <w:uiPriority w:val="1"/>
    <w:qFormat/>
    <w:rsid w:val="00B668CE"/>
    <w:pPr>
      <w:spacing w:before="2400" w:line="480" w:lineRule="auto"/>
      <w:contextualSpacing/>
      <w:jc w:val="center"/>
    </w:pPr>
    <w:rPr>
      <w:rFonts w:asciiTheme="majorHAnsi" w:eastAsiaTheme="majorEastAsia" w:hAnsiTheme="majorHAnsi" w:cstheme="majorBidi"/>
      <w:kern w:val="24"/>
      <w:lang w:eastAsia="ja-JP"/>
    </w:rPr>
  </w:style>
  <w:style w:type="character" w:customStyle="1" w:styleId="TitleChar">
    <w:name w:val="Title Char"/>
    <w:basedOn w:val="DefaultParagraphFont"/>
    <w:link w:val="Title"/>
    <w:uiPriority w:val="1"/>
    <w:rsid w:val="00B668CE"/>
    <w:rPr>
      <w:rFonts w:asciiTheme="majorHAnsi" w:eastAsiaTheme="majorEastAsia" w:hAnsiTheme="majorHAnsi" w:cstheme="majorBidi"/>
      <w:kern w:val="24"/>
      <w:sz w:val="24"/>
      <w:szCs w:val="24"/>
      <w:lang w:eastAsia="ja-JP"/>
    </w:rPr>
  </w:style>
  <w:style w:type="paragraph" w:customStyle="1" w:styleId="Title2">
    <w:name w:val="Title 2"/>
    <w:basedOn w:val="Normal"/>
    <w:uiPriority w:val="1"/>
    <w:qFormat/>
    <w:rsid w:val="00B668CE"/>
    <w:pPr>
      <w:spacing w:line="480" w:lineRule="auto"/>
      <w:jc w:val="center"/>
    </w:pPr>
    <w:rPr>
      <w:rFonts w:asciiTheme="minorHAnsi" w:eastAsiaTheme="minorEastAsia" w:hAnsiTheme="minorHAnsi" w:cstheme="minorBidi"/>
      <w:kern w:val="24"/>
      <w:lang w:eastAsia="ja-JP"/>
    </w:rPr>
  </w:style>
  <w:style w:type="character" w:styleId="Emphasis">
    <w:name w:val="Emphasis"/>
    <w:basedOn w:val="DefaultParagraphFont"/>
    <w:uiPriority w:val="20"/>
    <w:unhideWhenUsed/>
    <w:qFormat/>
    <w:rsid w:val="00B668CE"/>
    <w:rPr>
      <w:i/>
      <w:iCs/>
    </w:rPr>
  </w:style>
  <w:style w:type="paragraph" w:styleId="Header">
    <w:name w:val="header"/>
    <w:basedOn w:val="Normal"/>
    <w:link w:val="HeaderChar"/>
    <w:uiPriority w:val="99"/>
    <w:unhideWhenUsed/>
    <w:rsid w:val="00B668CE"/>
    <w:pPr>
      <w:tabs>
        <w:tab w:val="center" w:pos="4680"/>
        <w:tab w:val="right" w:pos="9360"/>
      </w:tabs>
    </w:pPr>
  </w:style>
  <w:style w:type="character" w:customStyle="1" w:styleId="HeaderChar">
    <w:name w:val="Header Char"/>
    <w:basedOn w:val="DefaultParagraphFont"/>
    <w:link w:val="Header"/>
    <w:uiPriority w:val="99"/>
    <w:rsid w:val="00B668CE"/>
    <w:rPr>
      <w:rFonts w:ascii="Times New Roman" w:hAnsi="Times New Roman" w:cs="Times New Roman"/>
      <w:sz w:val="24"/>
      <w:szCs w:val="24"/>
    </w:rPr>
  </w:style>
  <w:style w:type="paragraph" w:styleId="Footer">
    <w:name w:val="footer"/>
    <w:basedOn w:val="Normal"/>
    <w:link w:val="FooterChar"/>
    <w:uiPriority w:val="99"/>
    <w:unhideWhenUsed/>
    <w:rsid w:val="00B668CE"/>
    <w:pPr>
      <w:tabs>
        <w:tab w:val="center" w:pos="4680"/>
        <w:tab w:val="right" w:pos="9360"/>
      </w:tabs>
    </w:pPr>
  </w:style>
  <w:style w:type="character" w:customStyle="1" w:styleId="FooterChar">
    <w:name w:val="Footer Char"/>
    <w:basedOn w:val="DefaultParagraphFont"/>
    <w:link w:val="Footer"/>
    <w:uiPriority w:val="99"/>
    <w:rsid w:val="00B668CE"/>
    <w:rPr>
      <w:rFonts w:ascii="Times New Roman" w:hAnsi="Times New Roman" w:cs="Times New Roman"/>
      <w:sz w:val="24"/>
      <w:szCs w:val="24"/>
    </w:rPr>
  </w:style>
  <w:style w:type="character" w:styleId="PageNumber">
    <w:name w:val="page number"/>
    <w:basedOn w:val="DefaultParagraphFont"/>
    <w:uiPriority w:val="99"/>
    <w:semiHidden/>
    <w:unhideWhenUsed/>
    <w:rsid w:val="008A63F3"/>
  </w:style>
  <w:style w:type="table" w:styleId="TableGrid">
    <w:name w:val="Table Grid"/>
    <w:basedOn w:val="TableNormal"/>
    <w:uiPriority w:val="39"/>
    <w:rsid w:val="008A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C7433"/>
  </w:style>
  <w:style w:type="character" w:customStyle="1" w:styleId="DocumentMapChar">
    <w:name w:val="Document Map Char"/>
    <w:basedOn w:val="DefaultParagraphFont"/>
    <w:link w:val="DocumentMap"/>
    <w:uiPriority w:val="99"/>
    <w:semiHidden/>
    <w:rsid w:val="00FC7433"/>
    <w:rPr>
      <w:rFonts w:ascii="Times New Roman" w:hAnsi="Times New Roman" w:cs="Times New Roman"/>
      <w:sz w:val="24"/>
      <w:szCs w:val="24"/>
    </w:rPr>
  </w:style>
  <w:style w:type="paragraph" w:styleId="Revision">
    <w:name w:val="Revision"/>
    <w:hidden/>
    <w:uiPriority w:val="99"/>
    <w:semiHidden/>
    <w:rsid w:val="00FC7433"/>
    <w:pPr>
      <w:spacing w:after="0"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2B48BE"/>
    <w:rPr>
      <w:sz w:val="20"/>
      <w:szCs w:val="20"/>
    </w:rPr>
  </w:style>
  <w:style w:type="character" w:customStyle="1" w:styleId="EndnoteTextChar">
    <w:name w:val="Endnote Text Char"/>
    <w:basedOn w:val="DefaultParagraphFont"/>
    <w:link w:val="EndnoteText"/>
    <w:uiPriority w:val="99"/>
    <w:semiHidden/>
    <w:rsid w:val="002B48B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B48BE"/>
    <w:rPr>
      <w:vertAlign w:val="superscript"/>
    </w:rPr>
  </w:style>
  <w:style w:type="paragraph" w:styleId="Quote">
    <w:name w:val="Quote"/>
    <w:basedOn w:val="Normal"/>
    <w:next w:val="Normal"/>
    <w:link w:val="QuoteChar"/>
    <w:uiPriority w:val="29"/>
    <w:qFormat/>
    <w:rsid w:val="004C58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C5893"/>
    <w:rPr>
      <w:rFonts w:ascii="Times New Roman" w:hAnsi="Times New Roman" w:cs="Times New Roman"/>
      <w:i/>
      <w:iCs/>
      <w:color w:val="404040" w:themeColor="text1" w:themeTint="BF"/>
      <w:sz w:val="24"/>
      <w:szCs w:val="24"/>
    </w:rPr>
  </w:style>
  <w:style w:type="character" w:customStyle="1" w:styleId="apple-converted-space">
    <w:name w:val="apple-converted-space"/>
    <w:basedOn w:val="DefaultParagraphFont"/>
    <w:rsid w:val="00942D0A"/>
  </w:style>
  <w:style w:type="paragraph" w:styleId="NormalWeb">
    <w:name w:val="Normal (Web)"/>
    <w:basedOn w:val="Normal"/>
    <w:uiPriority w:val="99"/>
    <w:unhideWhenUsed/>
    <w:rsid w:val="000A3626"/>
    <w:pPr>
      <w:spacing w:before="100" w:beforeAutospacing="1" w:after="100" w:afterAutospacing="1"/>
    </w:pPr>
  </w:style>
  <w:style w:type="character" w:customStyle="1" w:styleId="highlight">
    <w:name w:val="highlight"/>
    <w:basedOn w:val="DefaultParagraphFont"/>
    <w:rsid w:val="00A0619D"/>
  </w:style>
  <w:style w:type="character" w:customStyle="1" w:styleId="citationref">
    <w:name w:val="citationref"/>
    <w:basedOn w:val="DefaultParagraphFont"/>
    <w:rsid w:val="00BB4CD1"/>
  </w:style>
  <w:style w:type="paragraph" w:styleId="ListParagraph">
    <w:name w:val="List Paragraph"/>
    <w:basedOn w:val="Normal"/>
    <w:uiPriority w:val="34"/>
    <w:qFormat/>
    <w:rsid w:val="0016470F"/>
    <w:pPr>
      <w:ind w:left="720"/>
      <w:contextualSpacing/>
    </w:pPr>
  </w:style>
  <w:style w:type="paragraph" w:customStyle="1" w:styleId="BodyAA">
    <w:name w:val="Body A A"/>
    <w:rsid w:val="00C5449B"/>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odyA">
    <w:name w:val="Body A"/>
    <w:rsid w:val="002F62D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2Char">
    <w:name w:val="Heading 2 Char"/>
    <w:basedOn w:val="DefaultParagraphFont"/>
    <w:link w:val="Heading2"/>
    <w:uiPriority w:val="9"/>
    <w:semiHidden/>
    <w:rsid w:val="00507BE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07BE0"/>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87D19"/>
    <w:rPr>
      <w:color w:val="605E5C"/>
      <w:shd w:val="clear" w:color="auto" w:fill="E1DFDD"/>
    </w:rPr>
  </w:style>
  <w:style w:type="paragraph" w:customStyle="1" w:styleId="SpaceAfter">
    <w:name w:val="Space After"/>
    <w:basedOn w:val="Normal"/>
    <w:qFormat/>
    <w:rsid w:val="00140FD8"/>
    <w:pPr>
      <w:tabs>
        <w:tab w:val="left" w:pos="7560"/>
      </w:tabs>
      <w:spacing w:after="160" w:line="264" w:lineRule="auto"/>
      <w:ind w:left="288" w:right="2880"/>
    </w:pPr>
    <w:rPr>
      <w:rFonts w:asciiTheme="minorHAnsi" w:eastAsia="SimSun" w:hAnsiTheme="minorHAnsi" w:cstheme="minorBid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934">
      <w:bodyDiv w:val="1"/>
      <w:marLeft w:val="0"/>
      <w:marRight w:val="0"/>
      <w:marTop w:val="0"/>
      <w:marBottom w:val="0"/>
      <w:divBdr>
        <w:top w:val="none" w:sz="0" w:space="0" w:color="auto"/>
        <w:left w:val="none" w:sz="0" w:space="0" w:color="auto"/>
        <w:bottom w:val="none" w:sz="0" w:space="0" w:color="auto"/>
        <w:right w:val="none" w:sz="0" w:space="0" w:color="auto"/>
      </w:divBdr>
    </w:div>
    <w:div w:id="46149590">
      <w:bodyDiv w:val="1"/>
      <w:marLeft w:val="0"/>
      <w:marRight w:val="0"/>
      <w:marTop w:val="0"/>
      <w:marBottom w:val="0"/>
      <w:divBdr>
        <w:top w:val="none" w:sz="0" w:space="0" w:color="auto"/>
        <w:left w:val="none" w:sz="0" w:space="0" w:color="auto"/>
        <w:bottom w:val="none" w:sz="0" w:space="0" w:color="auto"/>
        <w:right w:val="none" w:sz="0" w:space="0" w:color="auto"/>
      </w:divBdr>
    </w:div>
    <w:div w:id="48846463">
      <w:bodyDiv w:val="1"/>
      <w:marLeft w:val="0"/>
      <w:marRight w:val="0"/>
      <w:marTop w:val="0"/>
      <w:marBottom w:val="0"/>
      <w:divBdr>
        <w:top w:val="none" w:sz="0" w:space="0" w:color="auto"/>
        <w:left w:val="none" w:sz="0" w:space="0" w:color="auto"/>
        <w:bottom w:val="none" w:sz="0" w:space="0" w:color="auto"/>
        <w:right w:val="none" w:sz="0" w:space="0" w:color="auto"/>
      </w:divBdr>
    </w:div>
    <w:div w:id="54620825">
      <w:bodyDiv w:val="1"/>
      <w:marLeft w:val="0"/>
      <w:marRight w:val="0"/>
      <w:marTop w:val="0"/>
      <w:marBottom w:val="0"/>
      <w:divBdr>
        <w:top w:val="none" w:sz="0" w:space="0" w:color="auto"/>
        <w:left w:val="none" w:sz="0" w:space="0" w:color="auto"/>
        <w:bottom w:val="none" w:sz="0" w:space="0" w:color="auto"/>
        <w:right w:val="none" w:sz="0" w:space="0" w:color="auto"/>
      </w:divBdr>
    </w:div>
    <w:div w:id="76287902">
      <w:bodyDiv w:val="1"/>
      <w:marLeft w:val="0"/>
      <w:marRight w:val="0"/>
      <w:marTop w:val="0"/>
      <w:marBottom w:val="0"/>
      <w:divBdr>
        <w:top w:val="none" w:sz="0" w:space="0" w:color="auto"/>
        <w:left w:val="none" w:sz="0" w:space="0" w:color="auto"/>
        <w:bottom w:val="none" w:sz="0" w:space="0" w:color="auto"/>
        <w:right w:val="none" w:sz="0" w:space="0" w:color="auto"/>
      </w:divBdr>
      <w:divsChild>
        <w:div w:id="1698235849">
          <w:marLeft w:val="0"/>
          <w:marRight w:val="0"/>
          <w:marTop w:val="0"/>
          <w:marBottom w:val="0"/>
          <w:divBdr>
            <w:top w:val="none" w:sz="0" w:space="0" w:color="auto"/>
            <w:left w:val="none" w:sz="0" w:space="0" w:color="auto"/>
            <w:bottom w:val="none" w:sz="0" w:space="0" w:color="auto"/>
            <w:right w:val="none" w:sz="0" w:space="0" w:color="auto"/>
          </w:divBdr>
          <w:divsChild>
            <w:div w:id="242615295">
              <w:marLeft w:val="0"/>
              <w:marRight w:val="0"/>
              <w:marTop w:val="0"/>
              <w:marBottom w:val="0"/>
              <w:divBdr>
                <w:top w:val="none" w:sz="0" w:space="0" w:color="auto"/>
                <w:left w:val="none" w:sz="0" w:space="0" w:color="auto"/>
                <w:bottom w:val="none" w:sz="0" w:space="0" w:color="auto"/>
                <w:right w:val="none" w:sz="0" w:space="0" w:color="auto"/>
              </w:divBdr>
              <w:divsChild>
                <w:div w:id="4849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9754">
      <w:bodyDiv w:val="1"/>
      <w:marLeft w:val="0"/>
      <w:marRight w:val="0"/>
      <w:marTop w:val="0"/>
      <w:marBottom w:val="0"/>
      <w:divBdr>
        <w:top w:val="none" w:sz="0" w:space="0" w:color="auto"/>
        <w:left w:val="none" w:sz="0" w:space="0" w:color="auto"/>
        <w:bottom w:val="none" w:sz="0" w:space="0" w:color="auto"/>
        <w:right w:val="none" w:sz="0" w:space="0" w:color="auto"/>
      </w:divBdr>
      <w:divsChild>
        <w:div w:id="2001501960">
          <w:marLeft w:val="0"/>
          <w:marRight w:val="0"/>
          <w:marTop w:val="0"/>
          <w:marBottom w:val="0"/>
          <w:divBdr>
            <w:top w:val="none" w:sz="0" w:space="0" w:color="auto"/>
            <w:left w:val="none" w:sz="0" w:space="0" w:color="auto"/>
            <w:bottom w:val="none" w:sz="0" w:space="0" w:color="auto"/>
            <w:right w:val="none" w:sz="0" w:space="0" w:color="auto"/>
          </w:divBdr>
          <w:divsChild>
            <w:div w:id="1996639984">
              <w:marLeft w:val="0"/>
              <w:marRight w:val="0"/>
              <w:marTop w:val="0"/>
              <w:marBottom w:val="0"/>
              <w:divBdr>
                <w:top w:val="none" w:sz="0" w:space="0" w:color="auto"/>
                <w:left w:val="none" w:sz="0" w:space="0" w:color="auto"/>
                <w:bottom w:val="none" w:sz="0" w:space="0" w:color="auto"/>
                <w:right w:val="none" w:sz="0" w:space="0" w:color="auto"/>
              </w:divBdr>
              <w:divsChild>
                <w:div w:id="18470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6208">
      <w:bodyDiv w:val="1"/>
      <w:marLeft w:val="0"/>
      <w:marRight w:val="0"/>
      <w:marTop w:val="0"/>
      <w:marBottom w:val="0"/>
      <w:divBdr>
        <w:top w:val="none" w:sz="0" w:space="0" w:color="auto"/>
        <w:left w:val="none" w:sz="0" w:space="0" w:color="auto"/>
        <w:bottom w:val="none" w:sz="0" w:space="0" w:color="auto"/>
        <w:right w:val="none" w:sz="0" w:space="0" w:color="auto"/>
      </w:divBdr>
    </w:div>
    <w:div w:id="122425552">
      <w:bodyDiv w:val="1"/>
      <w:marLeft w:val="0"/>
      <w:marRight w:val="0"/>
      <w:marTop w:val="0"/>
      <w:marBottom w:val="0"/>
      <w:divBdr>
        <w:top w:val="none" w:sz="0" w:space="0" w:color="auto"/>
        <w:left w:val="none" w:sz="0" w:space="0" w:color="auto"/>
        <w:bottom w:val="none" w:sz="0" w:space="0" w:color="auto"/>
        <w:right w:val="none" w:sz="0" w:space="0" w:color="auto"/>
      </w:divBdr>
    </w:div>
    <w:div w:id="134220894">
      <w:bodyDiv w:val="1"/>
      <w:marLeft w:val="0"/>
      <w:marRight w:val="0"/>
      <w:marTop w:val="0"/>
      <w:marBottom w:val="0"/>
      <w:divBdr>
        <w:top w:val="none" w:sz="0" w:space="0" w:color="auto"/>
        <w:left w:val="none" w:sz="0" w:space="0" w:color="auto"/>
        <w:bottom w:val="none" w:sz="0" w:space="0" w:color="auto"/>
        <w:right w:val="none" w:sz="0" w:space="0" w:color="auto"/>
      </w:divBdr>
    </w:div>
    <w:div w:id="136802634">
      <w:bodyDiv w:val="1"/>
      <w:marLeft w:val="0"/>
      <w:marRight w:val="0"/>
      <w:marTop w:val="0"/>
      <w:marBottom w:val="0"/>
      <w:divBdr>
        <w:top w:val="none" w:sz="0" w:space="0" w:color="auto"/>
        <w:left w:val="none" w:sz="0" w:space="0" w:color="auto"/>
        <w:bottom w:val="none" w:sz="0" w:space="0" w:color="auto"/>
        <w:right w:val="none" w:sz="0" w:space="0" w:color="auto"/>
      </w:divBdr>
    </w:div>
    <w:div w:id="137696673">
      <w:bodyDiv w:val="1"/>
      <w:marLeft w:val="0"/>
      <w:marRight w:val="0"/>
      <w:marTop w:val="0"/>
      <w:marBottom w:val="0"/>
      <w:divBdr>
        <w:top w:val="none" w:sz="0" w:space="0" w:color="auto"/>
        <w:left w:val="none" w:sz="0" w:space="0" w:color="auto"/>
        <w:bottom w:val="none" w:sz="0" w:space="0" w:color="auto"/>
        <w:right w:val="none" w:sz="0" w:space="0" w:color="auto"/>
      </w:divBdr>
    </w:div>
    <w:div w:id="147748861">
      <w:bodyDiv w:val="1"/>
      <w:marLeft w:val="0"/>
      <w:marRight w:val="0"/>
      <w:marTop w:val="0"/>
      <w:marBottom w:val="0"/>
      <w:divBdr>
        <w:top w:val="none" w:sz="0" w:space="0" w:color="auto"/>
        <w:left w:val="none" w:sz="0" w:space="0" w:color="auto"/>
        <w:bottom w:val="none" w:sz="0" w:space="0" w:color="auto"/>
        <w:right w:val="none" w:sz="0" w:space="0" w:color="auto"/>
      </w:divBdr>
    </w:div>
    <w:div w:id="148837391">
      <w:bodyDiv w:val="1"/>
      <w:marLeft w:val="0"/>
      <w:marRight w:val="0"/>
      <w:marTop w:val="0"/>
      <w:marBottom w:val="0"/>
      <w:divBdr>
        <w:top w:val="none" w:sz="0" w:space="0" w:color="auto"/>
        <w:left w:val="none" w:sz="0" w:space="0" w:color="auto"/>
        <w:bottom w:val="none" w:sz="0" w:space="0" w:color="auto"/>
        <w:right w:val="none" w:sz="0" w:space="0" w:color="auto"/>
      </w:divBdr>
    </w:div>
    <w:div w:id="151257519">
      <w:bodyDiv w:val="1"/>
      <w:marLeft w:val="0"/>
      <w:marRight w:val="0"/>
      <w:marTop w:val="0"/>
      <w:marBottom w:val="0"/>
      <w:divBdr>
        <w:top w:val="none" w:sz="0" w:space="0" w:color="auto"/>
        <w:left w:val="none" w:sz="0" w:space="0" w:color="auto"/>
        <w:bottom w:val="none" w:sz="0" w:space="0" w:color="auto"/>
        <w:right w:val="none" w:sz="0" w:space="0" w:color="auto"/>
      </w:divBdr>
    </w:div>
    <w:div w:id="169954791">
      <w:bodyDiv w:val="1"/>
      <w:marLeft w:val="0"/>
      <w:marRight w:val="0"/>
      <w:marTop w:val="0"/>
      <w:marBottom w:val="0"/>
      <w:divBdr>
        <w:top w:val="none" w:sz="0" w:space="0" w:color="auto"/>
        <w:left w:val="none" w:sz="0" w:space="0" w:color="auto"/>
        <w:bottom w:val="none" w:sz="0" w:space="0" w:color="auto"/>
        <w:right w:val="none" w:sz="0" w:space="0" w:color="auto"/>
      </w:divBdr>
    </w:div>
    <w:div w:id="192620748">
      <w:bodyDiv w:val="1"/>
      <w:marLeft w:val="0"/>
      <w:marRight w:val="0"/>
      <w:marTop w:val="0"/>
      <w:marBottom w:val="0"/>
      <w:divBdr>
        <w:top w:val="none" w:sz="0" w:space="0" w:color="auto"/>
        <w:left w:val="none" w:sz="0" w:space="0" w:color="auto"/>
        <w:bottom w:val="none" w:sz="0" w:space="0" w:color="auto"/>
        <w:right w:val="none" w:sz="0" w:space="0" w:color="auto"/>
      </w:divBdr>
    </w:div>
    <w:div w:id="238054239">
      <w:bodyDiv w:val="1"/>
      <w:marLeft w:val="0"/>
      <w:marRight w:val="0"/>
      <w:marTop w:val="0"/>
      <w:marBottom w:val="0"/>
      <w:divBdr>
        <w:top w:val="none" w:sz="0" w:space="0" w:color="auto"/>
        <w:left w:val="none" w:sz="0" w:space="0" w:color="auto"/>
        <w:bottom w:val="none" w:sz="0" w:space="0" w:color="auto"/>
        <w:right w:val="none" w:sz="0" w:space="0" w:color="auto"/>
      </w:divBdr>
    </w:div>
    <w:div w:id="243149865">
      <w:bodyDiv w:val="1"/>
      <w:marLeft w:val="0"/>
      <w:marRight w:val="0"/>
      <w:marTop w:val="0"/>
      <w:marBottom w:val="0"/>
      <w:divBdr>
        <w:top w:val="none" w:sz="0" w:space="0" w:color="auto"/>
        <w:left w:val="none" w:sz="0" w:space="0" w:color="auto"/>
        <w:bottom w:val="none" w:sz="0" w:space="0" w:color="auto"/>
        <w:right w:val="none" w:sz="0" w:space="0" w:color="auto"/>
      </w:divBdr>
    </w:div>
    <w:div w:id="246614345">
      <w:bodyDiv w:val="1"/>
      <w:marLeft w:val="0"/>
      <w:marRight w:val="0"/>
      <w:marTop w:val="0"/>
      <w:marBottom w:val="0"/>
      <w:divBdr>
        <w:top w:val="none" w:sz="0" w:space="0" w:color="auto"/>
        <w:left w:val="none" w:sz="0" w:space="0" w:color="auto"/>
        <w:bottom w:val="none" w:sz="0" w:space="0" w:color="auto"/>
        <w:right w:val="none" w:sz="0" w:space="0" w:color="auto"/>
      </w:divBdr>
    </w:div>
    <w:div w:id="247623244">
      <w:bodyDiv w:val="1"/>
      <w:marLeft w:val="0"/>
      <w:marRight w:val="0"/>
      <w:marTop w:val="0"/>
      <w:marBottom w:val="0"/>
      <w:divBdr>
        <w:top w:val="none" w:sz="0" w:space="0" w:color="auto"/>
        <w:left w:val="none" w:sz="0" w:space="0" w:color="auto"/>
        <w:bottom w:val="none" w:sz="0" w:space="0" w:color="auto"/>
        <w:right w:val="none" w:sz="0" w:space="0" w:color="auto"/>
      </w:divBdr>
    </w:div>
    <w:div w:id="255869595">
      <w:bodyDiv w:val="1"/>
      <w:marLeft w:val="0"/>
      <w:marRight w:val="0"/>
      <w:marTop w:val="0"/>
      <w:marBottom w:val="0"/>
      <w:divBdr>
        <w:top w:val="none" w:sz="0" w:space="0" w:color="auto"/>
        <w:left w:val="none" w:sz="0" w:space="0" w:color="auto"/>
        <w:bottom w:val="none" w:sz="0" w:space="0" w:color="auto"/>
        <w:right w:val="none" w:sz="0" w:space="0" w:color="auto"/>
      </w:divBdr>
    </w:div>
    <w:div w:id="267396019">
      <w:bodyDiv w:val="1"/>
      <w:marLeft w:val="0"/>
      <w:marRight w:val="0"/>
      <w:marTop w:val="0"/>
      <w:marBottom w:val="0"/>
      <w:divBdr>
        <w:top w:val="none" w:sz="0" w:space="0" w:color="auto"/>
        <w:left w:val="none" w:sz="0" w:space="0" w:color="auto"/>
        <w:bottom w:val="none" w:sz="0" w:space="0" w:color="auto"/>
        <w:right w:val="none" w:sz="0" w:space="0" w:color="auto"/>
      </w:divBdr>
    </w:div>
    <w:div w:id="293365576">
      <w:bodyDiv w:val="1"/>
      <w:marLeft w:val="0"/>
      <w:marRight w:val="0"/>
      <w:marTop w:val="0"/>
      <w:marBottom w:val="0"/>
      <w:divBdr>
        <w:top w:val="none" w:sz="0" w:space="0" w:color="auto"/>
        <w:left w:val="none" w:sz="0" w:space="0" w:color="auto"/>
        <w:bottom w:val="none" w:sz="0" w:space="0" w:color="auto"/>
        <w:right w:val="none" w:sz="0" w:space="0" w:color="auto"/>
      </w:divBdr>
    </w:div>
    <w:div w:id="296375694">
      <w:bodyDiv w:val="1"/>
      <w:marLeft w:val="0"/>
      <w:marRight w:val="0"/>
      <w:marTop w:val="0"/>
      <w:marBottom w:val="0"/>
      <w:divBdr>
        <w:top w:val="none" w:sz="0" w:space="0" w:color="auto"/>
        <w:left w:val="none" w:sz="0" w:space="0" w:color="auto"/>
        <w:bottom w:val="none" w:sz="0" w:space="0" w:color="auto"/>
        <w:right w:val="none" w:sz="0" w:space="0" w:color="auto"/>
      </w:divBdr>
    </w:div>
    <w:div w:id="303198348">
      <w:bodyDiv w:val="1"/>
      <w:marLeft w:val="0"/>
      <w:marRight w:val="0"/>
      <w:marTop w:val="0"/>
      <w:marBottom w:val="0"/>
      <w:divBdr>
        <w:top w:val="none" w:sz="0" w:space="0" w:color="auto"/>
        <w:left w:val="none" w:sz="0" w:space="0" w:color="auto"/>
        <w:bottom w:val="none" w:sz="0" w:space="0" w:color="auto"/>
        <w:right w:val="none" w:sz="0" w:space="0" w:color="auto"/>
      </w:divBdr>
    </w:div>
    <w:div w:id="324600366">
      <w:bodyDiv w:val="1"/>
      <w:marLeft w:val="0"/>
      <w:marRight w:val="0"/>
      <w:marTop w:val="0"/>
      <w:marBottom w:val="0"/>
      <w:divBdr>
        <w:top w:val="none" w:sz="0" w:space="0" w:color="auto"/>
        <w:left w:val="none" w:sz="0" w:space="0" w:color="auto"/>
        <w:bottom w:val="none" w:sz="0" w:space="0" w:color="auto"/>
        <w:right w:val="none" w:sz="0" w:space="0" w:color="auto"/>
      </w:divBdr>
    </w:div>
    <w:div w:id="326519443">
      <w:bodyDiv w:val="1"/>
      <w:marLeft w:val="0"/>
      <w:marRight w:val="0"/>
      <w:marTop w:val="0"/>
      <w:marBottom w:val="0"/>
      <w:divBdr>
        <w:top w:val="none" w:sz="0" w:space="0" w:color="auto"/>
        <w:left w:val="none" w:sz="0" w:space="0" w:color="auto"/>
        <w:bottom w:val="none" w:sz="0" w:space="0" w:color="auto"/>
        <w:right w:val="none" w:sz="0" w:space="0" w:color="auto"/>
      </w:divBdr>
    </w:div>
    <w:div w:id="338583052">
      <w:bodyDiv w:val="1"/>
      <w:marLeft w:val="0"/>
      <w:marRight w:val="0"/>
      <w:marTop w:val="0"/>
      <w:marBottom w:val="0"/>
      <w:divBdr>
        <w:top w:val="none" w:sz="0" w:space="0" w:color="auto"/>
        <w:left w:val="none" w:sz="0" w:space="0" w:color="auto"/>
        <w:bottom w:val="none" w:sz="0" w:space="0" w:color="auto"/>
        <w:right w:val="none" w:sz="0" w:space="0" w:color="auto"/>
      </w:divBdr>
    </w:div>
    <w:div w:id="339506612">
      <w:bodyDiv w:val="1"/>
      <w:marLeft w:val="0"/>
      <w:marRight w:val="0"/>
      <w:marTop w:val="0"/>
      <w:marBottom w:val="0"/>
      <w:divBdr>
        <w:top w:val="none" w:sz="0" w:space="0" w:color="auto"/>
        <w:left w:val="none" w:sz="0" w:space="0" w:color="auto"/>
        <w:bottom w:val="none" w:sz="0" w:space="0" w:color="auto"/>
        <w:right w:val="none" w:sz="0" w:space="0" w:color="auto"/>
      </w:divBdr>
    </w:div>
    <w:div w:id="344327256">
      <w:bodyDiv w:val="1"/>
      <w:marLeft w:val="0"/>
      <w:marRight w:val="0"/>
      <w:marTop w:val="0"/>
      <w:marBottom w:val="0"/>
      <w:divBdr>
        <w:top w:val="none" w:sz="0" w:space="0" w:color="auto"/>
        <w:left w:val="none" w:sz="0" w:space="0" w:color="auto"/>
        <w:bottom w:val="none" w:sz="0" w:space="0" w:color="auto"/>
        <w:right w:val="none" w:sz="0" w:space="0" w:color="auto"/>
      </w:divBdr>
    </w:div>
    <w:div w:id="346635959">
      <w:bodyDiv w:val="1"/>
      <w:marLeft w:val="0"/>
      <w:marRight w:val="0"/>
      <w:marTop w:val="0"/>
      <w:marBottom w:val="0"/>
      <w:divBdr>
        <w:top w:val="none" w:sz="0" w:space="0" w:color="auto"/>
        <w:left w:val="none" w:sz="0" w:space="0" w:color="auto"/>
        <w:bottom w:val="none" w:sz="0" w:space="0" w:color="auto"/>
        <w:right w:val="none" w:sz="0" w:space="0" w:color="auto"/>
      </w:divBdr>
    </w:div>
    <w:div w:id="347752373">
      <w:bodyDiv w:val="1"/>
      <w:marLeft w:val="0"/>
      <w:marRight w:val="0"/>
      <w:marTop w:val="0"/>
      <w:marBottom w:val="0"/>
      <w:divBdr>
        <w:top w:val="none" w:sz="0" w:space="0" w:color="auto"/>
        <w:left w:val="none" w:sz="0" w:space="0" w:color="auto"/>
        <w:bottom w:val="none" w:sz="0" w:space="0" w:color="auto"/>
        <w:right w:val="none" w:sz="0" w:space="0" w:color="auto"/>
      </w:divBdr>
    </w:div>
    <w:div w:id="383456734">
      <w:bodyDiv w:val="1"/>
      <w:marLeft w:val="0"/>
      <w:marRight w:val="0"/>
      <w:marTop w:val="0"/>
      <w:marBottom w:val="0"/>
      <w:divBdr>
        <w:top w:val="none" w:sz="0" w:space="0" w:color="auto"/>
        <w:left w:val="none" w:sz="0" w:space="0" w:color="auto"/>
        <w:bottom w:val="none" w:sz="0" w:space="0" w:color="auto"/>
        <w:right w:val="none" w:sz="0" w:space="0" w:color="auto"/>
      </w:divBdr>
    </w:div>
    <w:div w:id="405036909">
      <w:bodyDiv w:val="1"/>
      <w:marLeft w:val="0"/>
      <w:marRight w:val="0"/>
      <w:marTop w:val="0"/>
      <w:marBottom w:val="0"/>
      <w:divBdr>
        <w:top w:val="none" w:sz="0" w:space="0" w:color="auto"/>
        <w:left w:val="none" w:sz="0" w:space="0" w:color="auto"/>
        <w:bottom w:val="none" w:sz="0" w:space="0" w:color="auto"/>
        <w:right w:val="none" w:sz="0" w:space="0" w:color="auto"/>
      </w:divBdr>
    </w:div>
    <w:div w:id="412701804">
      <w:bodyDiv w:val="1"/>
      <w:marLeft w:val="0"/>
      <w:marRight w:val="0"/>
      <w:marTop w:val="0"/>
      <w:marBottom w:val="0"/>
      <w:divBdr>
        <w:top w:val="none" w:sz="0" w:space="0" w:color="auto"/>
        <w:left w:val="none" w:sz="0" w:space="0" w:color="auto"/>
        <w:bottom w:val="none" w:sz="0" w:space="0" w:color="auto"/>
        <w:right w:val="none" w:sz="0" w:space="0" w:color="auto"/>
      </w:divBdr>
    </w:div>
    <w:div w:id="420684494">
      <w:bodyDiv w:val="1"/>
      <w:marLeft w:val="0"/>
      <w:marRight w:val="0"/>
      <w:marTop w:val="0"/>
      <w:marBottom w:val="0"/>
      <w:divBdr>
        <w:top w:val="none" w:sz="0" w:space="0" w:color="auto"/>
        <w:left w:val="none" w:sz="0" w:space="0" w:color="auto"/>
        <w:bottom w:val="none" w:sz="0" w:space="0" w:color="auto"/>
        <w:right w:val="none" w:sz="0" w:space="0" w:color="auto"/>
      </w:divBdr>
    </w:div>
    <w:div w:id="441804216">
      <w:bodyDiv w:val="1"/>
      <w:marLeft w:val="0"/>
      <w:marRight w:val="0"/>
      <w:marTop w:val="0"/>
      <w:marBottom w:val="0"/>
      <w:divBdr>
        <w:top w:val="none" w:sz="0" w:space="0" w:color="auto"/>
        <w:left w:val="none" w:sz="0" w:space="0" w:color="auto"/>
        <w:bottom w:val="none" w:sz="0" w:space="0" w:color="auto"/>
        <w:right w:val="none" w:sz="0" w:space="0" w:color="auto"/>
      </w:divBdr>
    </w:div>
    <w:div w:id="447503521">
      <w:bodyDiv w:val="1"/>
      <w:marLeft w:val="0"/>
      <w:marRight w:val="0"/>
      <w:marTop w:val="0"/>
      <w:marBottom w:val="0"/>
      <w:divBdr>
        <w:top w:val="none" w:sz="0" w:space="0" w:color="auto"/>
        <w:left w:val="none" w:sz="0" w:space="0" w:color="auto"/>
        <w:bottom w:val="none" w:sz="0" w:space="0" w:color="auto"/>
        <w:right w:val="none" w:sz="0" w:space="0" w:color="auto"/>
      </w:divBdr>
    </w:div>
    <w:div w:id="453401620">
      <w:bodyDiv w:val="1"/>
      <w:marLeft w:val="0"/>
      <w:marRight w:val="0"/>
      <w:marTop w:val="0"/>
      <w:marBottom w:val="0"/>
      <w:divBdr>
        <w:top w:val="none" w:sz="0" w:space="0" w:color="auto"/>
        <w:left w:val="none" w:sz="0" w:space="0" w:color="auto"/>
        <w:bottom w:val="none" w:sz="0" w:space="0" w:color="auto"/>
        <w:right w:val="none" w:sz="0" w:space="0" w:color="auto"/>
      </w:divBdr>
    </w:div>
    <w:div w:id="461076525">
      <w:bodyDiv w:val="1"/>
      <w:marLeft w:val="0"/>
      <w:marRight w:val="0"/>
      <w:marTop w:val="0"/>
      <w:marBottom w:val="0"/>
      <w:divBdr>
        <w:top w:val="none" w:sz="0" w:space="0" w:color="auto"/>
        <w:left w:val="none" w:sz="0" w:space="0" w:color="auto"/>
        <w:bottom w:val="none" w:sz="0" w:space="0" w:color="auto"/>
        <w:right w:val="none" w:sz="0" w:space="0" w:color="auto"/>
      </w:divBdr>
    </w:div>
    <w:div w:id="486098239">
      <w:bodyDiv w:val="1"/>
      <w:marLeft w:val="0"/>
      <w:marRight w:val="0"/>
      <w:marTop w:val="0"/>
      <w:marBottom w:val="0"/>
      <w:divBdr>
        <w:top w:val="none" w:sz="0" w:space="0" w:color="auto"/>
        <w:left w:val="none" w:sz="0" w:space="0" w:color="auto"/>
        <w:bottom w:val="none" w:sz="0" w:space="0" w:color="auto"/>
        <w:right w:val="none" w:sz="0" w:space="0" w:color="auto"/>
      </w:divBdr>
      <w:divsChild>
        <w:div w:id="876938715">
          <w:marLeft w:val="0"/>
          <w:marRight w:val="0"/>
          <w:marTop w:val="0"/>
          <w:marBottom w:val="0"/>
          <w:divBdr>
            <w:top w:val="none" w:sz="0" w:space="0" w:color="auto"/>
            <w:left w:val="none" w:sz="0" w:space="0" w:color="auto"/>
            <w:bottom w:val="none" w:sz="0" w:space="0" w:color="auto"/>
            <w:right w:val="none" w:sz="0" w:space="0" w:color="auto"/>
          </w:divBdr>
        </w:div>
      </w:divsChild>
    </w:div>
    <w:div w:id="500236998">
      <w:bodyDiv w:val="1"/>
      <w:marLeft w:val="0"/>
      <w:marRight w:val="0"/>
      <w:marTop w:val="0"/>
      <w:marBottom w:val="0"/>
      <w:divBdr>
        <w:top w:val="none" w:sz="0" w:space="0" w:color="auto"/>
        <w:left w:val="none" w:sz="0" w:space="0" w:color="auto"/>
        <w:bottom w:val="none" w:sz="0" w:space="0" w:color="auto"/>
        <w:right w:val="none" w:sz="0" w:space="0" w:color="auto"/>
      </w:divBdr>
    </w:div>
    <w:div w:id="523251712">
      <w:bodyDiv w:val="1"/>
      <w:marLeft w:val="0"/>
      <w:marRight w:val="0"/>
      <w:marTop w:val="0"/>
      <w:marBottom w:val="0"/>
      <w:divBdr>
        <w:top w:val="none" w:sz="0" w:space="0" w:color="auto"/>
        <w:left w:val="none" w:sz="0" w:space="0" w:color="auto"/>
        <w:bottom w:val="none" w:sz="0" w:space="0" w:color="auto"/>
        <w:right w:val="none" w:sz="0" w:space="0" w:color="auto"/>
      </w:divBdr>
    </w:div>
    <w:div w:id="533155541">
      <w:bodyDiv w:val="1"/>
      <w:marLeft w:val="0"/>
      <w:marRight w:val="0"/>
      <w:marTop w:val="0"/>
      <w:marBottom w:val="0"/>
      <w:divBdr>
        <w:top w:val="none" w:sz="0" w:space="0" w:color="auto"/>
        <w:left w:val="none" w:sz="0" w:space="0" w:color="auto"/>
        <w:bottom w:val="none" w:sz="0" w:space="0" w:color="auto"/>
        <w:right w:val="none" w:sz="0" w:space="0" w:color="auto"/>
      </w:divBdr>
    </w:div>
    <w:div w:id="560672975">
      <w:bodyDiv w:val="1"/>
      <w:marLeft w:val="0"/>
      <w:marRight w:val="0"/>
      <w:marTop w:val="0"/>
      <w:marBottom w:val="0"/>
      <w:divBdr>
        <w:top w:val="none" w:sz="0" w:space="0" w:color="auto"/>
        <w:left w:val="none" w:sz="0" w:space="0" w:color="auto"/>
        <w:bottom w:val="none" w:sz="0" w:space="0" w:color="auto"/>
        <w:right w:val="none" w:sz="0" w:space="0" w:color="auto"/>
      </w:divBdr>
    </w:div>
    <w:div w:id="569117352">
      <w:bodyDiv w:val="1"/>
      <w:marLeft w:val="0"/>
      <w:marRight w:val="0"/>
      <w:marTop w:val="0"/>
      <w:marBottom w:val="0"/>
      <w:divBdr>
        <w:top w:val="none" w:sz="0" w:space="0" w:color="auto"/>
        <w:left w:val="none" w:sz="0" w:space="0" w:color="auto"/>
        <w:bottom w:val="none" w:sz="0" w:space="0" w:color="auto"/>
        <w:right w:val="none" w:sz="0" w:space="0" w:color="auto"/>
      </w:divBdr>
    </w:div>
    <w:div w:id="571475540">
      <w:bodyDiv w:val="1"/>
      <w:marLeft w:val="0"/>
      <w:marRight w:val="0"/>
      <w:marTop w:val="0"/>
      <w:marBottom w:val="0"/>
      <w:divBdr>
        <w:top w:val="none" w:sz="0" w:space="0" w:color="auto"/>
        <w:left w:val="none" w:sz="0" w:space="0" w:color="auto"/>
        <w:bottom w:val="none" w:sz="0" w:space="0" w:color="auto"/>
        <w:right w:val="none" w:sz="0" w:space="0" w:color="auto"/>
      </w:divBdr>
    </w:div>
    <w:div w:id="584263676">
      <w:bodyDiv w:val="1"/>
      <w:marLeft w:val="0"/>
      <w:marRight w:val="0"/>
      <w:marTop w:val="0"/>
      <w:marBottom w:val="0"/>
      <w:divBdr>
        <w:top w:val="none" w:sz="0" w:space="0" w:color="auto"/>
        <w:left w:val="none" w:sz="0" w:space="0" w:color="auto"/>
        <w:bottom w:val="none" w:sz="0" w:space="0" w:color="auto"/>
        <w:right w:val="none" w:sz="0" w:space="0" w:color="auto"/>
      </w:divBdr>
    </w:div>
    <w:div w:id="599677763">
      <w:bodyDiv w:val="1"/>
      <w:marLeft w:val="0"/>
      <w:marRight w:val="0"/>
      <w:marTop w:val="0"/>
      <w:marBottom w:val="0"/>
      <w:divBdr>
        <w:top w:val="none" w:sz="0" w:space="0" w:color="auto"/>
        <w:left w:val="none" w:sz="0" w:space="0" w:color="auto"/>
        <w:bottom w:val="none" w:sz="0" w:space="0" w:color="auto"/>
        <w:right w:val="none" w:sz="0" w:space="0" w:color="auto"/>
      </w:divBdr>
    </w:div>
    <w:div w:id="616372337">
      <w:bodyDiv w:val="1"/>
      <w:marLeft w:val="0"/>
      <w:marRight w:val="0"/>
      <w:marTop w:val="0"/>
      <w:marBottom w:val="0"/>
      <w:divBdr>
        <w:top w:val="none" w:sz="0" w:space="0" w:color="auto"/>
        <w:left w:val="none" w:sz="0" w:space="0" w:color="auto"/>
        <w:bottom w:val="none" w:sz="0" w:space="0" w:color="auto"/>
        <w:right w:val="none" w:sz="0" w:space="0" w:color="auto"/>
      </w:divBdr>
    </w:div>
    <w:div w:id="617562563">
      <w:bodyDiv w:val="1"/>
      <w:marLeft w:val="0"/>
      <w:marRight w:val="0"/>
      <w:marTop w:val="0"/>
      <w:marBottom w:val="0"/>
      <w:divBdr>
        <w:top w:val="none" w:sz="0" w:space="0" w:color="auto"/>
        <w:left w:val="none" w:sz="0" w:space="0" w:color="auto"/>
        <w:bottom w:val="none" w:sz="0" w:space="0" w:color="auto"/>
        <w:right w:val="none" w:sz="0" w:space="0" w:color="auto"/>
      </w:divBdr>
    </w:div>
    <w:div w:id="632489021">
      <w:bodyDiv w:val="1"/>
      <w:marLeft w:val="0"/>
      <w:marRight w:val="0"/>
      <w:marTop w:val="0"/>
      <w:marBottom w:val="0"/>
      <w:divBdr>
        <w:top w:val="none" w:sz="0" w:space="0" w:color="auto"/>
        <w:left w:val="none" w:sz="0" w:space="0" w:color="auto"/>
        <w:bottom w:val="none" w:sz="0" w:space="0" w:color="auto"/>
        <w:right w:val="none" w:sz="0" w:space="0" w:color="auto"/>
      </w:divBdr>
    </w:div>
    <w:div w:id="641466896">
      <w:bodyDiv w:val="1"/>
      <w:marLeft w:val="0"/>
      <w:marRight w:val="0"/>
      <w:marTop w:val="0"/>
      <w:marBottom w:val="0"/>
      <w:divBdr>
        <w:top w:val="none" w:sz="0" w:space="0" w:color="auto"/>
        <w:left w:val="none" w:sz="0" w:space="0" w:color="auto"/>
        <w:bottom w:val="none" w:sz="0" w:space="0" w:color="auto"/>
        <w:right w:val="none" w:sz="0" w:space="0" w:color="auto"/>
      </w:divBdr>
    </w:div>
    <w:div w:id="659239604">
      <w:bodyDiv w:val="1"/>
      <w:marLeft w:val="0"/>
      <w:marRight w:val="0"/>
      <w:marTop w:val="0"/>
      <w:marBottom w:val="0"/>
      <w:divBdr>
        <w:top w:val="none" w:sz="0" w:space="0" w:color="auto"/>
        <w:left w:val="none" w:sz="0" w:space="0" w:color="auto"/>
        <w:bottom w:val="none" w:sz="0" w:space="0" w:color="auto"/>
        <w:right w:val="none" w:sz="0" w:space="0" w:color="auto"/>
      </w:divBdr>
    </w:div>
    <w:div w:id="669337055">
      <w:bodyDiv w:val="1"/>
      <w:marLeft w:val="0"/>
      <w:marRight w:val="0"/>
      <w:marTop w:val="0"/>
      <w:marBottom w:val="0"/>
      <w:divBdr>
        <w:top w:val="none" w:sz="0" w:space="0" w:color="auto"/>
        <w:left w:val="none" w:sz="0" w:space="0" w:color="auto"/>
        <w:bottom w:val="none" w:sz="0" w:space="0" w:color="auto"/>
        <w:right w:val="none" w:sz="0" w:space="0" w:color="auto"/>
      </w:divBdr>
    </w:div>
    <w:div w:id="680746200">
      <w:bodyDiv w:val="1"/>
      <w:marLeft w:val="0"/>
      <w:marRight w:val="0"/>
      <w:marTop w:val="0"/>
      <w:marBottom w:val="0"/>
      <w:divBdr>
        <w:top w:val="none" w:sz="0" w:space="0" w:color="auto"/>
        <w:left w:val="none" w:sz="0" w:space="0" w:color="auto"/>
        <w:bottom w:val="none" w:sz="0" w:space="0" w:color="auto"/>
        <w:right w:val="none" w:sz="0" w:space="0" w:color="auto"/>
      </w:divBdr>
    </w:div>
    <w:div w:id="698973320">
      <w:bodyDiv w:val="1"/>
      <w:marLeft w:val="0"/>
      <w:marRight w:val="0"/>
      <w:marTop w:val="0"/>
      <w:marBottom w:val="0"/>
      <w:divBdr>
        <w:top w:val="none" w:sz="0" w:space="0" w:color="auto"/>
        <w:left w:val="none" w:sz="0" w:space="0" w:color="auto"/>
        <w:bottom w:val="none" w:sz="0" w:space="0" w:color="auto"/>
        <w:right w:val="none" w:sz="0" w:space="0" w:color="auto"/>
      </w:divBdr>
    </w:div>
    <w:div w:id="725877975">
      <w:bodyDiv w:val="1"/>
      <w:marLeft w:val="0"/>
      <w:marRight w:val="0"/>
      <w:marTop w:val="0"/>
      <w:marBottom w:val="0"/>
      <w:divBdr>
        <w:top w:val="none" w:sz="0" w:space="0" w:color="auto"/>
        <w:left w:val="none" w:sz="0" w:space="0" w:color="auto"/>
        <w:bottom w:val="none" w:sz="0" w:space="0" w:color="auto"/>
        <w:right w:val="none" w:sz="0" w:space="0" w:color="auto"/>
      </w:divBdr>
    </w:div>
    <w:div w:id="727191724">
      <w:bodyDiv w:val="1"/>
      <w:marLeft w:val="0"/>
      <w:marRight w:val="0"/>
      <w:marTop w:val="0"/>
      <w:marBottom w:val="0"/>
      <w:divBdr>
        <w:top w:val="none" w:sz="0" w:space="0" w:color="auto"/>
        <w:left w:val="none" w:sz="0" w:space="0" w:color="auto"/>
        <w:bottom w:val="none" w:sz="0" w:space="0" w:color="auto"/>
        <w:right w:val="none" w:sz="0" w:space="0" w:color="auto"/>
      </w:divBdr>
    </w:div>
    <w:div w:id="728846432">
      <w:bodyDiv w:val="1"/>
      <w:marLeft w:val="0"/>
      <w:marRight w:val="0"/>
      <w:marTop w:val="0"/>
      <w:marBottom w:val="0"/>
      <w:divBdr>
        <w:top w:val="none" w:sz="0" w:space="0" w:color="auto"/>
        <w:left w:val="none" w:sz="0" w:space="0" w:color="auto"/>
        <w:bottom w:val="none" w:sz="0" w:space="0" w:color="auto"/>
        <w:right w:val="none" w:sz="0" w:space="0" w:color="auto"/>
      </w:divBdr>
    </w:div>
    <w:div w:id="731923384">
      <w:bodyDiv w:val="1"/>
      <w:marLeft w:val="0"/>
      <w:marRight w:val="0"/>
      <w:marTop w:val="0"/>
      <w:marBottom w:val="0"/>
      <w:divBdr>
        <w:top w:val="none" w:sz="0" w:space="0" w:color="auto"/>
        <w:left w:val="none" w:sz="0" w:space="0" w:color="auto"/>
        <w:bottom w:val="none" w:sz="0" w:space="0" w:color="auto"/>
        <w:right w:val="none" w:sz="0" w:space="0" w:color="auto"/>
      </w:divBdr>
    </w:div>
    <w:div w:id="747307314">
      <w:bodyDiv w:val="1"/>
      <w:marLeft w:val="0"/>
      <w:marRight w:val="0"/>
      <w:marTop w:val="0"/>
      <w:marBottom w:val="0"/>
      <w:divBdr>
        <w:top w:val="none" w:sz="0" w:space="0" w:color="auto"/>
        <w:left w:val="none" w:sz="0" w:space="0" w:color="auto"/>
        <w:bottom w:val="none" w:sz="0" w:space="0" w:color="auto"/>
        <w:right w:val="none" w:sz="0" w:space="0" w:color="auto"/>
      </w:divBdr>
      <w:divsChild>
        <w:div w:id="576938042">
          <w:marLeft w:val="0"/>
          <w:marRight w:val="0"/>
          <w:marTop w:val="0"/>
          <w:marBottom w:val="0"/>
          <w:divBdr>
            <w:top w:val="none" w:sz="0" w:space="0" w:color="auto"/>
            <w:left w:val="none" w:sz="0" w:space="0" w:color="auto"/>
            <w:bottom w:val="none" w:sz="0" w:space="0" w:color="auto"/>
            <w:right w:val="none" w:sz="0" w:space="0" w:color="auto"/>
          </w:divBdr>
        </w:div>
      </w:divsChild>
    </w:div>
    <w:div w:id="754672903">
      <w:bodyDiv w:val="1"/>
      <w:marLeft w:val="0"/>
      <w:marRight w:val="0"/>
      <w:marTop w:val="0"/>
      <w:marBottom w:val="0"/>
      <w:divBdr>
        <w:top w:val="none" w:sz="0" w:space="0" w:color="auto"/>
        <w:left w:val="none" w:sz="0" w:space="0" w:color="auto"/>
        <w:bottom w:val="none" w:sz="0" w:space="0" w:color="auto"/>
        <w:right w:val="none" w:sz="0" w:space="0" w:color="auto"/>
      </w:divBdr>
    </w:div>
    <w:div w:id="763916114">
      <w:bodyDiv w:val="1"/>
      <w:marLeft w:val="0"/>
      <w:marRight w:val="0"/>
      <w:marTop w:val="0"/>
      <w:marBottom w:val="0"/>
      <w:divBdr>
        <w:top w:val="none" w:sz="0" w:space="0" w:color="auto"/>
        <w:left w:val="none" w:sz="0" w:space="0" w:color="auto"/>
        <w:bottom w:val="none" w:sz="0" w:space="0" w:color="auto"/>
        <w:right w:val="none" w:sz="0" w:space="0" w:color="auto"/>
      </w:divBdr>
      <w:divsChild>
        <w:div w:id="151265736">
          <w:marLeft w:val="0"/>
          <w:marRight w:val="0"/>
          <w:marTop w:val="0"/>
          <w:marBottom w:val="0"/>
          <w:divBdr>
            <w:top w:val="none" w:sz="0" w:space="0" w:color="auto"/>
            <w:left w:val="none" w:sz="0" w:space="0" w:color="auto"/>
            <w:bottom w:val="none" w:sz="0" w:space="0" w:color="auto"/>
            <w:right w:val="none" w:sz="0" w:space="0" w:color="auto"/>
          </w:divBdr>
        </w:div>
        <w:div w:id="725757895">
          <w:marLeft w:val="0"/>
          <w:marRight w:val="0"/>
          <w:marTop w:val="0"/>
          <w:marBottom w:val="0"/>
          <w:divBdr>
            <w:top w:val="none" w:sz="0" w:space="0" w:color="auto"/>
            <w:left w:val="none" w:sz="0" w:space="0" w:color="auto"/>
            <w:bottom w:val="none" w:sz="0" w:space="0" w:color="auto"/>
            <w:right w:val="none" w:sz="0" w:space="0" w:color="auto"/>
          </w:divBdr>
        </w:div>
        <w:div w:id="2084178395">
          <w:marLeft w:val="0"/>
          <w:marRight w:val="0"/>
          <w:marTop w:val="0"/>
          <w:marBottom w:val="0"/>
          <w:divBdr>
            <w:top w:val="none" w:sz="0" w:space="0" w:color="auto"/>
            <w:left w:val="none" w:sz="0" w:space="0" w:color="auto"/>
            <w:bottom w:val="none" w:sz="0" w:space="0" w:color="auto"/>
            <w:right w:val="none" w:sz="0" w:space="0" w:color="auto"/>
          </w:divBdr>
        </w:div>
      </w:divsChild>
    </w:div>
    <w:div w:id="769274534">
      <w:bodyDiv w:val="1"/>
      <w:marLeft w:val="0"/>
      <w:marRight w:val="0"/>
      <w:marTop w:val="0"/>
      <w:marBottom w:val="0"/>
      <w:divBdr>
        <w:top w:val="none" w:sz="0" w:space="0" w:color="auto"/>
        <w:left w:val="none" w:sz="0" w:space="0" w:color="auto"/>
        <w:bottom w:val="none" w:sz="0" w:space="0" w:color="auto"/>
        <w:right w:val="none" w:sz="0" w:space="0" w:color="auto"/>
      </w:divBdr>
    </w:div>
    <w:div w:id="775638879">
      <w:bodyDiv w:val="1"/>
      <w:marLeft w:val="0"/>
      <w:marRight w:val="0"/>
      <w:marTop w:val="0"/>
      <w:marBottom w:val="0"/>
      <w:divBdr>
        <w:top w:val="none" w:sz="0" w:space="0" w:color="auto"/>
        <w:left w:val="none" w:sz="0" w:space="0" w:color="auto"/>
        <w:bottom w:val="none" w:sz="0" w:space="0" w:color="auto"/>
        <w:right w:val="none" w:sz="0" w:space="0" w:color="auto"/>
      </w:divBdr>
    </w:div>
    <w:div w:id="781000155">
      <w:bodyDiv w:val="1"/>
      <w:marLeft w:val="0"/>
      <w:marRight w:val="0"/>
      <w:marTop w:val="0"/>
      <w:marBottom w:val="0"/>
      <w:divBdr>
        <w:top w:val="none" w:sz="0" w:space="0" w:color="auto"/>
        <w:left w:val="none" w:sz="0" w:space="0" w:color="auto"/>
        <w:bottom w:val="none" w:sz="0" w:space="0" w:color="auto"/>
        <w:right w:val="none" w:sz="0" w:space="0" w:color="auto"/>
      </w:divBdr>
    </w:div>
    <w:div w:id="783882825">
      <w:bodyDiv w:val="1"/>
      <w:marLeft w:val="0"/>
      <w:marRight w:val="0"/>
      <w:marTop w:val="0"/>
      <w:marBottom w:val="0"/>
      <w:divBdr>
        <w:top w:val="none" w:sz="0" w:space="0" w:color="auto"/>
        <w:left w:val="none" w:sz="0" w:space="0" w:color="auto"/>
        <w:bottom w:val="none" w:sz="0" w:space="0" w:color="auto"/>
        <w:right w:val="none" w:sz="0" w:space="0" w:color="auto"/>
      </w:divBdr>
    </w:div>
    <w:div w:id="787506687">
      <w:bodyDiv w:val="1"/>
      <w:marLeft w:val="0"/>
      <w:marRight w:val="0"/>
      <w:marTop w:val="0"/>
      <w:marBottom w:val="0"/>
      <w:divBdr>
        <w:top w:val="none" w:sz="0" w:space="0" w:color="auto"/>
        <w:left w:val="none" w:sz="0" w:space="0" w:color="auto"/>
        <w:bottom w:val="none" w:sz="0" w:space="0" w:color="auto"/>
        <w:right w:val="none" w:sz="0" w:space="0" w:color="auto"/>
      </w:divBdr>
    </w:div>
    <w:div w:id="790633807">
      <w:bodyDiv w:val="1"/>
      <w:marLeft w:val="0"/>
      <w:marRight w:val="0"/>
      <w:marTop w:val="0"/>
      <w:marBottom w:val="0"/>
      <w:divBdr>
        <w:top w:val="none" w:sz="0" w:space="0" w:color="auto"/>
        <w:left w:val="none" w:sz="0" w:space="0" w:color="auto"/>
        <w:bottom w:val="none" w:sz="0" w:space="0" w:color="auto"/>
        <w:right w:val="none" w:sz="0" w:space="0" w:color="auto"/>
      </w:divBdr>
    </w:div>
    <w:div w:id="795762132">
      <w:bodyDiv w:val="1"/>
      <w:marLeft w:val="0"/>
      <w:marRight w:val="0"/>
      <w:marTop w:val="0"/>
      <w:marBottom w:val="0"/>
      <w:divBdr>
        <w:top w:val="none" w:sz="0" w:space="0" w:color="auto"/>
        <w:left w:val="none" w:sz="0" w:space="0" w:color="auto"/>
        <w:bottom w:val="none" w:sz="0" w:space="0" w:color="auto"/>
        <w:right w:val="none" w:sz="0" w:space="0" w:color="auto"/>
      </w:divBdr>
    </w:div>
    <w:div w:id="802650357">
      <w:bodyDiv w:val="1"/>
      <w:marLeft w:val="0"/>
      <w:marRight w:val="0"/>
      <w:marTop w:val="0"/>
      <w:marBottom w:val="0"/>
      <w:divBdr>
        <w:top w:val="none" w:sz="0" w:space="0" w:color="auto"/>
        <w:left w:val="none" w:sz="0" w:space="0" w:color="auto"/>
        <w:bottom w:val="none" w:sz="0" w:space="0" w:color="auto"/>
        <w:right w:val="none" w:sz="0" w:space="0" w:color="auto"/>
      </w:divBdr>
    </w:div>
    <w:div w:id="804929625">
      <w:bodyDiv w:val="1"/>
      <w:marLeft w:val="0"/>
      <w:marRight w:val="0"/>
      <w:marTop w:val="0"/>
      <w:marBottom w:val="0"/>
      <w:divBdr>
        <w:top w:val="none" w:sz="0" w:space="0" w:color="auto"/>
        <w:left w:val="none" w:sz="0" w:space="0" w:color="auto"/>
        <w:bottom w:val="none" w:sz="0" w:space="0" w:color="auto"/>
        <w:right w:val="none" w:sz="0" w:space="0" w:color="auto"/>
      </w:divBdr>
    </w:div>
    <w:div w:id="838471054">
      <w:bodyDiv w:val="1"/>
      <w:marLeft w:val="0"/>
      <w:marRight w:val="0"/>
      <w:marTop w:val="0"/>
      <w:marBottom w:val="0"/>
      <w:divBdr>
        <w:top w:val="none" w:sz="0" w:space="0" w:color="auto"/>
        <w:left w:val="none" w:sz="0" w:space="0" w:color="auto"/>
        <w:bottom w:val="none" w:sz="0" w:space="0" w:color="auto"/>
        <w:right w:val="none" w:sz="0" w:space="0" w:color="auto"/>
      </w:divBdr>
    </w:div>
    <w:div w:id="864056930">
      <w:bodyDiv w:val="1"/>
      <w:marLeft w:val="0"/>
      <w:marRight w:val="0"/>
      <w:marTop w:val="0"/>
      <w:marBottom w:val="0"/>
      <w:divBdr>
        <w:top w:val="none" w:sz="0" w:space="0" w:color="auto"/>
        <w:left w:val="none" w:sz="0" w:space="0" w:color="auto"/>
        <w:bottom w:val="none" w:sz="0" w:space="0" w:color="auto"/>
        <w:right w:val="none" w:sz="0" w:space="0" w:color="auto"/>
      </w:divBdr>
    </w:div>
    <w:div w:id="877862745">
      <w:bodyDiv w:val="1"/>
      <w:marLeft w:val="0"/>
      <w:marRight w:val="0"/>
      <w:marTop w:val="0"/>
      <w:marBottom w:val="0"/>
      <w:divBdr>
        <w:top w:val="none" w:sz="0" w:space="0" w:color="auto"/>
        <w:left w:val="none" w:sz="0" w:space="0" w:color="auto"/>
        <w:bottom w:val="none" w:sz="0" w:space="0" w:color="auto"/>
        <w:right w:val="none" w:sz="0" w:space="0" w:color="auto"/>
      </w:divBdr>
    </w:div>
    <w:div w:id="889879716">
      <w:bodyDiv w:val="1"/>
      <w:marLeft w:val="0"/>
      <w:marRight w:val="0"/>
      <w:marTop w:val="0"/>
      <w:marBottom w:val="0"/>
      <w:divBdr>
        <w:top w:val="none" w:sz="0" w:space="0" w:color="auto"/>
        <w:left w:val="none" w:sz="0" w:space="0" w:color="auto"/>
        <w:bottom w:val="none" w:sz="0" w:space="0" w:color="auto"/>
        <w:right w:val="none" w:sz="0" w:space="0" w:color="auto"/>
      </w:divBdr>
    </w:div>
    <w:div w:id="950940922">
      <w:bodyDiv w:val="1"/>
      <w:marLeft w:val="0"/>
      <w:marRight w:val="0"/>
      <w:marTop w:val="0"/>
      <w:marBottom w:val="0"/>
      <w:divBdr>
        <w:top w:val="none" w:sz="0" w:space="0" w:color="auto"/>
        <w:left w:val="none" w:sz="0" w:space="0" w:color="auto"/>
        <w:bottom w:val="none" w:sz="0" w:space="0" w:color="auto"/>
        <w:right w:val="none" w:sz="0" w:space="0" w:color="auto"/>
      </w:divBdr>
    </w:div>
    <w:div w:id="952979591">
      <w:bodyDiv w:val="1"/>
      <w:marLeft w:val="0"/>
      <w:marRight w:val="0"/>
      <w:marTop w:val="0"/>
      <w:marBottom w:val="0"/>
      <w:divBdr>
        <w:top w:val="none" w:sz="0" w:space="0" w:color="auto"/>
        <w:left w:val="none" w:sz="0" w:space="0" w:color="auto"/>
        <w:bottom w:val="none" w:sz="0" w:space="0" w:color="auto"/>
        <w:right w:val="none" w:sz="0" w:space="0" w:color="auto"/>
      </w:divBdr>
    </w:div>
    <w:div w:id="956259493">
      <w:bodyDiv w:val="1"/>
      <w:marLeft w:val="0"/>
      <w:marRight w:val="0"/>
      <w:marTop w:val="0"/>
      <w:marBottom w:val="0"/>
      <w:divBdr>
        <w:top w:val="none" w:sz="0" w:space="0" w:color="auto"/>
        <w:left w:val="none" w:sz="0" w:space="0" w:color="auto"/>
        <w:bottom w:val="none" w:sz="0" w:space="0" w:color="auto"/>
        <w:right w:val="none" w:sz="0" w:space="0" w:color="auto"/>
      </w:divBdr>
    </w:div>
    <w:div w:id="969895879">
      <w:bodyDiv w:val="1"/>
      <w:marLeft w:val="0"/>
      <w:marRight w:val="0"/>
      <w:marTop w:val="0"/>
      <w:marBottom w:val="0"/>
      <w:divBdr>
        <w:top w:val="none" w:sz="0" w:space="0" w:color="auto"/>
        <w:left w:val="none" w:sz="0" w:space="0" w:color="auto"/>
        <w:bottom w:val="none" w:sz="0" w:space="0" w:color="auto"/>
        <w:right w:val="none" w:sz="0" w:space="0" w:color="auto"/>
      </w:divBdr>
    </w:div>
    <w:div w:id="971449139">
      <w:bodyDiv w:val="1"/>
      <w:marLeft w:val="0"/>
      <w:marRight w:val="0"/>
      <w:marTop w:val="0"/>
      <w:marBottom w:val="0"/>
      <w:divBdr>
        <w:top w:val="none" w:sz="0" w:space="0" w:color="auto"/>
        <w:left w:val="none" w:sz="0" w:space="0" w:color="auto"/>
        <w:bottom w:val="none" w:sz="0" w:space="0" w:color="auto"/>
        <w:right w:val="none" w:sz="0" w:space="0" w:color="auto"/>
      </w:divBdr>
    </w:div>
    <w:div w:id="996423338">
      <w:bodyDiv w:val="1"/>
      <w:marLeft w:val="0"/>
      <w:marRight w:val="0"/>
      <w:marTop w:val="0"/>
      <w:marBottom w:val="0"/>
      <w:divBdr>
        <w:top w:val="none" w:sz="0" w:space="0" w:color="auto"/>
        <w:left w:val="none" w:sz="0" w:space="0" w:color="auto"/>
        <w:bottom w:val="none" w:sz="0" w:space="0" w:color="auto"/>
        <w:right w:val="none" w:sz="0" w:space="0" w:color="auto"/>
      </w:divBdr>
    </w:div>
    <w:div w:id="1008483092">
      <w:bodyDiv w:val="1"/>
      <w:marLeft w:val="0"/>
      <w:marRight w:val="0"/>
      <w:marTop w:val="0"/>
      <w:marBottom w:val="0"/>
      <w:divBdr>
        <w:top w:val="none" w:sz="0" w:space="0" w:color="auto"/>
        <w:left w:val="none" w:sz="0" w:space="0" w:color="auto"/>
        <w:bottom w:val="none" w:sz="0" w:space="0" w:color="auto"/>
        <w:right w:val="none" w:sz="0" w:space="0" w:color="auto"/>
      </w:divBdr>
    </w:div>
    <w:div w:id="1025136105">
      <w:bodyDiv w:val="1"/>
      <w:marLeft w:val="0"/>
      <w:marRight w:val="0"/>
      <w:marTop w:val="0"/>
      <w:marBottom w:val="0"/>
      <w:divBdr>
        <w:top w:val="none" w:sz="0" w:space="0" w:color="auto"/>
        <w:left w:val="none" w:sz="0" w:space="0" w:color="auto"/>
        <w:bottom w:val="none" w:sz="0" w:space="0" w:color="auto"/>
        <w:right w:val="none" w:sz="0" w:space="0" w:color="auto"/>
      </w:divBdr>
    </w:div>
    <w:div w:id="1029261800">
      <w:bodyDiv w:val="1"/>
      <w:marLeft w:val="0"/>
      <w:marRight w:val="0"/>
      <w:marTop w:val="0"/>
      <w:marBottom w:val="0"/>
      <w:divBdr>
        <w:top w:val="none" w:sz="0" w:space="0" w:color="auto"/>
        <w:left w:val="none" w:sz="0" w:space="0" w:color="auto"/>
        <w:bottom w:val="none" w:sz="0" w:space="0" w:color="auto"/>
        <w:right w:val="none" w:sz="0" w:space="0" w:color="auto"/>
      </w:divBdr>
    </w:div>
    <w:div w:id="1036275812">
      <w:bodyDiv w:val="1"/>
      <w:marLeft w:val="0"/>
      <w:marRight w:val="0"/>
      <w:marTop w:val="0"/>
      <w:marBottom w:val="0"/>
      <w:divBdr>
        <w:top w:val="none" w:sz="0" w:space="0" w:color="auto"/>
        <w:left w:val="none" w:sz="0" w:space="0" w:color="auto"/>
        <w:bottom w:val="none" w:sz="0" w:space="0" w:color="auto"/>
        <w:right w:val="none" w:sz="0" w:space="0" w:color="auto"/>
      </w:divBdr>
    </w:div>
    <w:div w:id="1051272235">
      <w:bodyDiv w:val="1"/>
      <w:marLeft w:val="0"/>
      <w:marRight w:val="0"/>
      <w:marTop w:val="0"/>
      <w:marBottom w:val="0"/>
      <w:divBdr>
        <w:top w:val="none" w:sz="0" w:space="0" w:color="auto"/>
        <w:left w:val="none" w:sz="0" w:space="0" w:color="auto"/>
        <w:bottom w:val="none" w:sz="0" w:space="0" w:color="auto"/>
        <w:right w:val="none" w:sz="0" w:space="0" w:color="auto"/>
      </w:divBdr>
      <w:divsChild>
        <w:div w:id="979921026">
          <w:marLeft w:val="0"/>
          <w:marRight w:val="0"/>
          <w:marTop w:val="0"/>
          <w:marBottom w:val="0"/>
          <w:divBdr>
            <w:top w:val="none" w:sz="0" w:space="0" w:color="auto"/>
            <w:left w:val="none" w:sz="0" w:space="0" w:color="auto"/>
            <w:bottom w:val="none" w:sz="0" w:space="0" w:color="auto"/>
            <w:right w:val="none" w:sz="0" w:space="0" w:color="auto"/>
          </w:divBdr>
        </w:div>
        <w:div w:id="1605965924">
          <w:marLeft w:val="0"/>
          <w:marRight w:val="0"/>
          <w:marTop w:val="0"/>
          <w:marBottom w:val="0"/>
          <w:divBdr>
            <w:top w:val="none" w:sz="0" w:space="0" w:color="auto"/>
            <w:left w:val="none" w:sz="0" w:space="0" w:color="auto"/>
            <w:bottom w:val="none" w:sz="0" w:space="0" w:color="auto"/>
            <w:right w:val="none" w:sz="0" w:space="0" w:color="auto"/>
          </w:divBdr>
        </w:div>
      </w:divsChild>
    </w:div>
    <w:div w:id="1052971403">
      <w:bodyDiv w:val="1"/>
      <w:marLeft w:val="0"/>
      <w:marRight w:val="0"/>
      <w:marTop w:val="0"/>
      <w:marBottom w:val="0"/>
      <w:divBdr>
        <w:top w:val="none" w:sz="0" w:space="0" w:color="auto"/>
        <w:left w:val="none" w:sz="0" w:space="0" w:color="auto"/>
        <w:bottom w:val="none" w:sz="0" w:space="0" w:color="auto"/>
        <w:right w:val="none" w:sz="0" w:space="0" w:color="auto"/>
      </w:divBdr>
    </w:div>
    <w:div w:id="1058744745">
      <w:bodyDiv w:val="1"/>
      <w:marLeft w:val="0"/>
      <w:marRight w:val="0"/>
      <w:marTop w:val="0"/>
      <w:marBottom w:val="0"/>
      <w:divBdr>
        <w:top w:val="none" w:sz="0" w:space="0" w:color="auto"/>
        <w:left w:val="none" w:sz="0" w:space="0" w:color="auto"/>
        <w:bottom w:val="none" w:sz="0" w:space="0" w:color="auto"/>
        <w:right w:val="none" w:sz="0" w:space="0" w:color="auto"/>
      </w:divBdr>
    </w:div>
    <w:div w:id="1062483959">
      <w:bodyDiv w:val="1"/>
      <w:marLeft w:val="0"/>
      <w:marRight w:val="0"/>
      <w:marTop w:val="0"/>
      <w:marBottom w:val="0"/>
      <w:divBdr>
        <w:top w:val="none" w:sz="0" w:space="0" w:color="auto"/>
        <w:left w:val="none" w:sz="0" w:space="0" w:color="auto"/>
        <w:bottom w:val="none" w:sz="0" w:space="0" w:color="auto"/>
        <w:right w:val="none" w:sz="0" w:space="0" w:color="auto"/>
      </w:divBdr>
    </w:div>
    <w:div w:id="1068384379">
      <w:bodyDiv w:val="1"/>
      <w:marLeft w:val="0"/>
      <w:marRight w:val="0"/>
      <w:marTop w:val="0"/>
      <w:marBottom w:val="0"/>
      <w:divBdr>
        <w:top w:val="none" w:sz="0" w:space="0" w:color="auto"/>
        <w:left w:val="none" w:sz="0" w:space="0" w:color="auto"/>
        <w:bottom w:val="none" w:sz="0" w:space="0" w:color="auto"/>
        <w:right w:val="none" w:sz="0" w:space="0" w:color="auto"/>
      </w:divBdr>
    </w:div>
    <w:div w:id="1097098617">
      <w:bodyDiv w:val="1"/>
      <w:marLeft w:val="0"/>
      <w:marRight w:val="0"/>
      <w:marTop w:val="0"/>
      <w:marBottom w:val="0"/>
      <w:divBdr>
        <w:top w:val="none" w:sz="0" w:space="0" w:color="auto"/>
        <w:left w:val="none" w:sz="0" w:space="0" w:color="auto"/>
        <w:bottom w:val="none" w:sz="0" w:space="0" w:color="auto"/>
        <w:right w:val="none" w:sz="0" w:space="0" w:color="auto"/>
      </w:divBdr>
    </w:div>
    <w:div w:id="1100374667">
      <w:bodyDiv w:val="1"/>
      <w:marLeft w:val="0"/>
      <w:marRight w:val="0"/>
      <w:marTop w:val="0"/>
      <w:marBottom w:val="0"/>
      <w:divBdr>
        <w:top w:val="none" w:sz="0" w:space="0" w:color="auto"/>
        <w:left w:val="none" w:sz="0" w:space="0" w:color="auto"/>
        <w:bottom w:val="none" w:sz="0" w:space="0" w:color="auto"/>
        <w:right w:val="none" w:sz="0" w:space="0" w:color="auto"/>
      </w:divBdr>
    </w:div>
    <w:div w:id="1120876859">
      <w:bodyDiv w:val="1"/>
      <w:marLeft w:val="0"/>
      <w:marRight w:val="0"/>
      <w:marTop w:val="0"/>
      <w:marBottom w:val="0"/>
      <w:divBdr>
        <w:top w:val="none" w:sz="0" w:space="0" w:color="auto"/>
        <w:left w:val="none" w:sz="0" w:space="0" w:color="auto"/>
        <w:bottom w:val="none" w:sz="0" w:space="0" w:color="auto"/>
        <w:right w:val="none" w:sz="0" w:space="0" w:color="auto"/>
      </w:divBdr>
    </w:div>
    <w:div w:id="1125656644">
      <w:bodyDiv w:val="1"/>
      <w:marLeft w:val="0"/>
      <w:marRight w:val="0"/>
      <w:marTop w:val="0"/>
      <w:marBottom w:val="0"/>
      <w:divBdr>
        <w:top w:val="none" w:sz="0" w:space="0" w:color="auto"/>
        <w:left w:val="none" w:sz="0" w:space="0" w:color="auto"/>
        <w:bottom w:val="none" w:sz="0" w:space="0" w:color="auto"/>
        <w:right w:val="none" w:sz="0" w:space="0" w:color="auto"/>
      </w:divBdr>
    </w:div>
    <w:div w:id="1130629818">
      <w:bodyDiv w:val="1"/>
      <w:marLeft w:val="0"/>
      <w:marRight w:val="0"/>
      <w:marTop w:val="0"/>
      <w:marBottom w:val="0"/>
      <w:divBdr>
        <w:top w:val="none" w:sz="0" w:space="0" w:color="auto"/>
        <w:left w:val="none" w:sz="0" w:space="0" w:color="auto"/>
        <w:bottom w:val="none" w:sz="0" w:space="0" w:color="auto"/>
        <w:right w:val="none" w:sz="0" w:space="0" w:color="auto"/>
      </w:divBdr>
    </w:div>
    <w:div w:id="1137916213">
      <w:bodyDiv w:val="1"/>
      <w:marLeft w:val="0"/>
      <w:marRight w:val="0"/>
      <w:marTop w:val="0"/>
      <w:marBottom w:val="0"/>
      <w:divBdr>
        <w:top w:val="none" w:sz="0" w:space="0" w:color="auto"/>
        <w:left w:val="none" w:sz="0" w:space="0" w:color="auto"/>
        <w:bottom w:val="none" w:sz="0" w:space="0" w:color="auto"/>
        <w:right w:val="none" w:sz="0" w:space="0" w:color="auto"/>
      </w:divBdr>
    </w:div>
    <w:div w:id="1151604912">
      <w:bodyDiv w:val="1"/>
      <w:marLeft w:val="0"/>
      <w:marRight w:val="0"/>
      <w:marTop w:val="0"/>
      <w:marBottom w:val="0"/>
      <w:divBdr>
        <w:top w:val="none" w:sz="0" w:space="0" w:color="auto"/>
        <w:left w:val="none" w:sz="0" w:space="0" w:color="auto"/>
        <w:bottom w:val="none" w:sz="0" w:space="0" w:color="auto"/>
        <w:right w:val="none" w:sz="0" w:space="0" w:color="auto"/>
      </w:divBdr>
    </w:div>
    <w:div w:id="1154183108">
      <w:bodyDiv w:val="1"/>
      <w:marLeft w:val="0"/>
      <w:marRight w:val="0"/>
      <w:marTop w:val="0"/>
      <w:marBottom w:val="0"/>
      <w:divBdr>
        <w:top w:val="none" w:sz="0" w:space="0" w:color="auto"/>
        <w:left w:val="none" w:sz="0" w:space="0" w:color="auto"/>
        <w:bottom w:val="none" w:sz="0" w:space="0" w:color="auto"/>
        <w:right w:val="none" w:sz="0" w:space="0" w:color="auto"/>
      </w:divBdr>
    </w:div>
    <w:div w:id="1158839045">
      <w:bodyDiv w:val="1"/>
      <w:marLeft w:val="0"/>
      <w:marRight w:val="0"/>
      <w:marTop w:val="0"/>
      <w:marBottom w:val="0"/>
      <w:divBdr>
        <w:top w:val="none" w:sz="0" w:space="0" w:color="auto"/>
        <w:left w:val="none" w:sz="0" w:space="0" w:color="auto"/>
        <w:bottom w:val="none" w:sz="0" w:space="0" w:color="auto"/>
        <w:right w:val="none" w:sz="0" w:space="0" w:color="auto"/>
      </w:divBdr>
    </w:div>
    <w:div w:id="1162696651">
      <w:bodyDiv w:val="1"/>
      <w:marLeft w:val="0"/>
      <w:marRight w:val="0"/>
      <w:marTop w:val="0"/>
      <w:marBottom w:val="0"/>
      <w:divBdr>
        <w:top w:val="none" w:sz="0" w:space="0" w:color="auto"/>
        <w:left w:val="none" w:sz="0" w:space="0" w:color="auto"/>
        <w:bottom w:val="none" w:sz="0" w:space="0" w:color="auto"/>
        <w:right w:val="none" w:sz="0" w:space="0" w:color="auto"/>
      </w:divBdr>
    </w:div>
    <w:div w:id="1167208223">
      <w:bodyDiv w:val="1"/>
      <w:marLeft w:val="0"/>
      <w:marRight w:val="0"/>
      <w:marTop w:val="0"/>
      <w:marBottom w:val="0"/>
      <w:divBdr>
        <w:top w:val="none" w:sz="0" w:space="0" w:color="auto"/>
        <w:left w:val="none" w:sz="0" w:space="0" w:color="auto"/>
        <w:bottom w:val="none" w:sz="0" w:space="0" w:color="auto"/>
        <w:right w:val="none" w:sz="0" w:space="0" w:color="auto"/>
      </w:divBdr>
    </w:div>
    <w:div w:id="1189366095">
      <w:bodyDiv w:val="1"/>
      <w:marLeft w:val="0"/>
      <w:marRight w:val="0"/>
      <w:marTop w:val="0"/>
      <w:marBottom w:val="0"/>
      <w:divBdr>
        <w:top w:val="none" w:sz="0" w:space="0" w:color="auto"/>
        <w:left w:val="none" w:sz="0" w:space="0" w:color="auto"/>
        <w:bottom w:val="none" w:sz="0" w:space="0" w:color="auto"/>
        <w:right w:val="none" w:sz="0" w:space="0" w:color="auto"/>
      </w:divBdr>
    </w:div>
    <w:div w:id="1194346443">
      <w:bodyDiv w:val="1"/>
      <w:marLeft w:val="0"/>
      <w:marRight w:val="0"/>
      <w:marTop w:val="0"/>
      <w:marBottom w:val="0"/>
      <w:divBdr>
        <w:top w:val="none" w:sz="0" w:space="0" w:color="auto"/>
        <w:left w:val="none" w:sz="0" w:space="0" w:color="auto"/>
        <w:bottom w:val="none" w:sz="0" w:space="0" w:color="auto"/>
        <w:right w:val="none" w:sz="0" w:space="0" w:color="auto"/>
      </w:divBdr>
    </w:div>
    <w:div w:id="1199119956">
      <w:bodyDiv w:val="1"/>
      <w:marLeft w:val="0"/>
      <w:marRight w:val="0"/>
      <w:marTop w:val="0"/>
      <w:marBottom w:val="0"/>
      <w:divBdr>
        <w:top w:val="none" w:sz="0" w:space="0" w:color="auto"/>
        <w:left w:val="none" w:sz="0" w:space="0" w:color="auto"/>
        <w:bottom w:val="none" w:sz="0" w:space="0" w:color="auto"/>
        <w:right w:val="none" w:sz="0" w:space="0" w:color="auto"/>
      </w:divBdr>
    </w:div>
    <w:div w:id="1204756318">
      <w:bodyDiv w:val="1"/>
      <w:marLeft w:val="0"/>
      <w:marRight w:val="0"/>
      <w:marTop w:val="0"/>
      <w:marBottom w:val="0"/>
      <w:divBdr>
        <w:top w:val="none" w:sz="0" w:space="0" w:color="auto"/>
        <w:left w:val="none" w:sz="0" w:space="0" w:color="auto"/>
        <w:bottom w:val="none" w:sz="0" w:space="0" w:color="auto"/>
        <w:right w:val="none" w:sz="0" w:space="0" w:color="auto"/>
      </w:divBdr>
    </w:div>
    <w:div w:id="1204905798">
      <w:bodyDiv w:val="1"/>
      <w:marLeft w:val="0"/>
      <w:marRight w:val="0"/>
      <w:marTop w:val="0"/>
      <w:marBottom w:val="0"/>
      <w:divBdr>
        <w:top w:val="none" w:sz="0" w:space="0" w:color="auto"/>
        <w:left w:val="none" w:sz="0" w:space="0" w:color="auto"/>
        <w:bottom w:val="none" w:sz="0" w:space="0" w:color="auto"/>
        <w:right w:val="none" w:sz="0" w:space="0" w:color="auto"/>
      </w:divBdr>
    </w:div>
    <w:div w:id="1208909103">
      <w:bodyDiv w:val="1"/>
      <w:marLeft w:val="0"/>
      <w:marRight w:val="0"/>
      <w:marTop w:val="0"/>
      <w:marBottom w:val="0"/>
      <w:divBdr>
        <w:top w:val="none" w:sz="0" w:space="0" w:color="auto"/>
        <w:left w:val="none" w:sz="0" w:space="0" w:color="auto"/>
        <w:bottom w:val="none" w:sz="0" w:space="0" w:color="auto"/>
        <w:right w:val="none" w:sz="0" w:space="0" w:color="auto"/>
      </w:divBdr>
      <w:divsChild>
        <w:div w:id="384529164">
          <w:marLeft w:val="0"/>
          <w:marRight w:val="0"/>
          <w:marTop w:val="0"/>
          <w:marBottom w:val="0"/>
          <w:divBdr>
            <w:top w:val="none" w:sz="0" w:space="0" w:color="auto"/>
            <w:left w:val="none" w:sz="0" w:space="0" w:color="auto"/>
            <w:bottom w:val="none" w:sz="0" w:space="0" w:color="auto"/>
            <w:right w:val="none" w:sz="0" w:space="0" w:color="auto"/>
          </w:divBdr>
          <w:divsChild>
            <w:div w:id="1799372752">
              <w:marLeft w:val="0"/>
              <w:marRight w:val="0"/>
              <w:marTop w:val="0"/>
              <w:marBottom w:val="0"/>
              <w:divBdr>
                <w:top w:val="none" w:sz="0" w:space="0" w:color="auto"/>
                <w:left w:val="none" w:sz="0" w:space="0" w:color="auto"/>
                <w:bottom w:val="none" w:sz="0" w:space="0" w:color="auto"/>
                <w:right w:val="none" w:sz="0" w:space="0" w:color="auto"/>
              </w:divBdr>
              <w:divsChild>
                <w:div w:id="19949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8182">
      <w:bodyDiv w:val="1"/>
      <w:marLeft w:val="0"/>
      <w:marRight w:val="0"/>
      <w:marTop w:val="0"/>
      <w:marBottom w:val="0"/>
      <w:divBdr>
        <w:top w:val="none" w:sz="0" w:space="0" w:color="auto"/>
        <w:left w:val="none" w:sz="0" w:space="0" w:color="auto"/>
        <w:bottom w:val="none" w:sz="0" w:space="0" w:color="auto"/>
        <w:right w:val="none" w:sz="0" w:space="0" w:color="auto"/>
      </w:divBdr>
    </w:div>
    <w:div w:id="1226145110">
      <w:bodyDiv w:val="1"/>
      <w:marLeft w:val="0"/>
      <w:marRight w:val="0"/>
      <w:marTop w:val="0"/>
      <w:marBottom w:val="0"/>
      <w:divBdr>
        <w:top w:val="none" w:sz="0" w:space="0" w:color="auto"/>
        <w:left w:val="none" w:sz="0" w:space="0" w:color="auto"/>
        <w:bottom w:val="none" w:sz="0" w:space="0" w:color="auto"/>
        <w:right w:val="none" w:sz="0" w:space="0" w:color="auto"/>
      </w:divBdr>
    </w:div>
    <w:div w:id="1228569872">
      <w:bodyDiv w:val="1"/>
      <w:marLeft w:val="0"/>
      <w:marRight w:val="0"/>
      <w:marTop w:val="0"/>
      <w:marBottom w:val="0"/>
      <w:divBdr>
        <w:top w:val="none" w:sz="0" w:space="0" w:color="auto"/>
        <w:left w:val="none" w:sz="0" w:space="0" w:color="auto"/>
        <w:bottom w:val="none" w:sz="0" w:space="0" w:color="auto"/>
        <w:right w:val="none" w:sz="0" w:space="0" w:color="auto"/>
      </w:divBdr>
    </w:div>
    <w:div w:id="1228805616">
      <w:bodyDiv w:val="1"/>
      <w:marLeft w:val="0"/>
      <w:marRight w:val="0"/>
      <w:marTop w:val="0"/>
      <w:marBottom w:val="0"/>
      <w:divBdr>
        <w:top w:val="none" w:sz="0" w:space="0" w:color="auto"/>
        <w:left w:val="none" w:sz="0" w:space="0" w:color="auto"/>
        <w:bottom w:val="none" w:sz="0" w:space="0" w:color="auto"/>
        <w:right w:val="none" w:sz="0" w:space="0" w:color="auto"/>
      </w:divBdr>
    </w:div>
    <w:div w:id="1239514070">
      <w:bodyDiv w:val="1"/>
      <w:marLeft w:val="0"/>
      <w:marRight w:val="0"/>
      <w:marTop w:val="0"/>
      <w:marBottom w:val="0"/>
      <w:divBdr>
        <w:top w:val="none" w:sz="0" w:space="0" w:color="auto"/>
        <w:left w:val="none" w:sz="0" w:space="0" w:color="auto"/>
        <w:bottom w:val="none" w:sz="0" w:space="0" w:color="auto"/>
        <w:right w:val="none" w:sz="0" w:space="0" w:color="auto"/>
      </w:divBdr>
      <w:divsChild>
        <w:div w:id="307516047">
          <w:marLeft w:val="0"/>
          <w:marRight w:val="0"/>
          <w:marTop w:val="0"/>
          <w:marBottom w:val="0"/>
          <w:divBdr>
            <w:top w:val="none" w:sz="0" w:space="0" w:color="auto"/>
            <w:left w:val="none" w:sz="0" w:space="0" w:color="auto"/>
            <w:bottom w:val="none" w:sz="0" w:space="0" w:color="auto"/>
            <w:right w:val="none" w:sz="0" w:space="0" w:color="auto"/>
          </w:divBdr>
          <w:divsChild>
            <w:div w:id="722681847">
              <w:marLeft w:val="0"/>
              <w:marRight w:val="0"/>
              <w:marTop w:val="0"/>
              <w:marBottom w:val="0"/>
              <w:divBdr>
                <w:top w:val="none" w:sz="0" w:space="0" w:color="auto"/>
                <w:left w:val="none" w:sz="0" w:space="0" w:color="auto"/>
                <w:bottom w:val="none" w:sz="0" w:space="0" w:color="auto"/>
                <w:right w:val="none" w:sz="0" w:space="0" w:color="auto"/>
              </w:divBdr>
              <w:divsChild>
                <w:div w:id="9430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8251">
      <w:bodyDiv w:val="1"/>
      <w:marLeft w:val="0"/>
      <w:marRight w:val="0"/>
      <w:marTop w:val="0"/>
      <w:marBottom w:val="0"/>
      <w:divBdr>
        <w:top w:val="none" w:sz="0" w:space="0" w:color="auto"/>
        <w:left w:val="none" w:sz="0" w:space="0" w:color="auto"/>
        <w:bottom w:val="none" w:sz="0" w:space="0" w:color="auto"/>
        <w:right w:val="none" w:sz="0" w:space="0" w:color="auto"/>
      </w:divBdr>
    </w:div>
    <w:div w:id="1256941380">
      <w:bodyDiv w:val="1"/>
      <w:marLeft w:val="0"/>
      <w:marRight w:val="0"/>
      <w:marTop w:val="0"/>
      <w:marBottom w:val="0"/>
      <w:divBdr>
        <w:top w:val="none" w:sz="0" w:space="0" w:color="auto"/>
        <w:left w:val="none" w:sz="0" w:space="0" w:color="auto"/>
        <w:bottom w:val="none" w:sz="0" w:space="0" w:color="auto"/>
        <w:right w:val="none" w:sz="0" w:space="0" w:color="auto"/>
      </w:divBdr>
    </w:div>
    <w:div w:id="1258367847">
      <w:bodyDiv w:val="1"/>
      <w:marLeft w:val="0"/>
      <w:marRight w:val="0"/>
      <w:marTop w:val="0"/>
      <w:marBottom w:val="0"/>
      <w:divBdr>
        <w:top w:val="none" w:sz="0" w:space="0" w:color="auto"/>
        <w:left w:val="none" w:sz="0" w:space="0" w:color="auto"/>
        <w:bottom w:val="none" w:sz="0" w:space="0" w:color="auto"/>
        <w:right w:val="none" w:sz="0" w:space="0" w:color="auto"/>
      </w:divBdr>
    </w:div>
    <w:div w:id="1265186866">
      <w:bodyDiv w:val="1"/>
      <w:marLeft w:val="0"/>
      <w:marRight w:val="0"/>
      <w:marTop w:val="0"/>
      <w:marBottom w:val="0"/>
      <w:divBdr>
        <w:top w:val="none" w:sz="0" w:space="0" w:color="auto"/>
        <w:left w:val="none" w:sz="0" w:space="0" w:color="auto"/>
        <w:bottom w:val="none" w:sz="0" w:space="0" w:color="auto"/>
        <w:right w:val="none" w:sz="0" w:space="0" w:color="auto"/>
      </w:divBdr>
    </w:div>
    <w:div w:id="1293749087">
      <w:bodyDiv w:val="1"/>
      <w:marLeft w:val="0"/>
      <w:marRight w:val="0"/>
      <w:marTop w:val="0"/>
      <w:marBottom w:val="0"/>
      <w:divBdr>
        <w:top w:val="none" w:sz="0" w:space="0" w:color="auto"/>
        <w:left w:val="none" w:sz="0" w:space="0" w:color="auto"/>
        <w:bottom w:val="none" w:sz="0" w:space="0" w:color="auto"/>
        <w:right w:val="none" w:sz="0" w:space="0" w:color="auto"/>
      </w:divBdr>
    </w:div>
    <w:div w:id="1298872832">
      <w:bodyDiv w:val="1"/>
      <w:marLeft w:val="0"/>
      <w:marRight w:val="0"/>
      <w:marTop w:val="0"/>
      <w:marBottom w:val="0"/>
      <w:divBdr>
        <w:top w:val="none" w:sz="0" w:space="0" w:color="auto"/>
        <w:left w:val="none" w:sz="0" w:space="0" w:color="auto"/>
        <w:bottom w:val="none" w:sz="0" w:space="0" w:color="auto"/>
        <w:right w:val="none" w:sz="0" w:space="0" w:color="auto"/>
      </w:divBdr>
    </w:div>
    <w:div w:id="1304431107">
      <w:bodyDiv w:val="1"/>
      <w:marLeft w:val="0"/>
      <w:marRight w:val="0"/>
      <w:marTop w:val="0"/>
      <w:marBottom w:val="0"/>
      <w:divBdr>
        <w:top w:val="none" w:sz="0" w:space="0" w:color="auto"/>
        <w:left w:val="none" w:sz="0" w:space="0" w:color="auto"/>
        <w:bottom w:val="none" w:sz="0" w:space="0" w:color="auto"/>
        <w:right w:val="none" w:sz="0" w:space="0" w:color="auto"/>
      </w:divBdr>
    </w:div>
    <w:div w:id="1312564718">
      <w:bodyDiv w:val="1"/>
      <w:marLeft w:val="0"/>
      <w:marRight w:val="0"/>
      <w:marTop w:val="0"/>
      <w:marBottom w:val="0"/>
      <w:divBdr>
        <w:top w:val="none" w:sz="0" w:space="0" w:color="auto"/>
        <w:left w:val="none" w:sz="0" w:space="0" w:color="auto"/>
        <w:bottom w:val="none" w:sz="0" w:space="0" w:color="auto"/>
        <w:right w:val="none" w:sz="0" w:space="0" w:color="auto"/>
      </w:divBdr>
    </w:div>
    <w:div w:id="1329476106">
      <w:bodyDiv w:val="1"/>
      <w:marLeft w:val="0"/>
      <w:marRight w:val="0"/>
      <w:marTop w:val="0"/>
      <w:marBottom w:val="0"/>
      <w:divBdr>
        <w:top w:val="none" w:sz="0" w:space="0" w:color="auto"/>
        <w:left w:val="none" w:sz="0" w:space="0" w:color="auto"/>
        <w:bottom w:val="none" w:sz="0" w:space="0" w:color="auto"/>
        <w:right w:val="none" w:sz="0" w:space="0" w:color="auto"/>
      </w:divBdr>
    </w:div>
    <w:div w:id="1334184334">
      <w:bodyDiv w:val="1"/>
      <w:marLeft w:val="0"/>
      <w:marRight w:val="0"/>
      <w:marTop w:val="0"/>
      <w:marBottom w:val="0"/>
      <w:divBdr>
        <w:top w:val="none" w:sz="0" w:space="0" w:color="auto"/>
        <w:left w:val="none" w:sz="0" w:space="0" w:color="auto"/>
        <w:bottom w:val="none" w:sz="0" w:space="0" w:color="auto"/>
        <w:right w:val="none" w:sz="0" w:space="0" w:color="auto"/>
      </w:divBdr>
    </w:div>
    <w:div w:id="1344628614">
      <w:bodyDiv w:val="1"/>
      <w:marLeft w:val="0"/>
      <w:marRight w:val="0"/>
      <w:marTop w:val="0"/>
      <w:marBottom w:val="0"/>
      <w:divBdr>
        <w:top w:val="none" w:sz="0" w:space="0" w:color="auto"/>
        <w:left w:val="none" w:sz="0" w:space="0" w:color="auto"/>
        <w:bottom w:val="none" w:sz="0" w:space="0" w:color="auto"/>
        <w:right w:val="none" w:sz="0" w:space="0" w:color="auto"/>
      </w:divBdr>
    </w:div>
    <w:div w:id="1346130301">
      <w:bodyDiv w:val="1"/>
      <w:marLeft w:val="0"/>
      <w:marRight w:val="0"/>
      <w:marTop w:val="0"/>
      <w:marBottom w:val="0"/>
      <w:divBdr>
        <w:top w:val="none" w:sz="0" w:space="0" w:color="auto"/>
        <w:left w:val="none" w:sz="0" w:space="0" w:color="auto"/>
        <w:bottom w:val="none" w:sz="0" w:space="0" w:color="auto"/>
        <w:right w:val="none" w:sz="0" w:space="0" w:color="auto"/>
      </w:divBdr>
    </w:div>
    <w:div w:id="1353872666">
      <w:bodyDiv w:val="1"/>
      <w:marLeft w:val="0"/>
      <w:marRight w:val="0"/>
      <w:marTop w:val="0"/>
      <w:marBottom w:val="0"/>
      <w:divBdr>
        <w:top w:val="none" w:sz="0" w:space="0" w:color="auto"/>
        <w:left w:val="none" w:sz="0" w:space="0" w:color="auto"/>
        <w:bottom w:val="none" w:sz="0" w:space="0" w:color="auto"/>
        <w:right w:val="none" w:sz="0" w:space="0" w:color="auto"/>
      </w:divBdr>
    </w:div>
    <w:div w:id="1357999581">
      <w:bodyDiv w:val="1"/>
      <w:marLeft w:val="0"/>
      <w:marRight w:val="0"/>
      <w:marTop w:val="0"/>
      <w:marBottom w:val="0"/>
      <w:divBdr>
        <w:top w:val="none" w:sz="0" w:space="0" w:color="auto"/>
        <w:left w:val="none" w:sz="0" w:space="0" w:color="auto"/>
        <w:bottom w:val="none" w:sz="0" w:space="0" w:color="auto"/>
        <w:right w:val="none" w:sz="0" w:space="0" w:color="auto"/>
      </w:divBdr>
    </w:div>
    <w:div w:id="1379285524">
      <w:bodyDiv w:val="1"/>
      <w:marLeft w:val="0"/>
      <w:marRight w:val="0"/>
      <w:marTop w:val="0"/>
      <w:marBottom w:val="0"/>
      <w:divBdr>
        <w:top w:val="none" w:sz="0" w:space="0" w:color="auto"/>
        <w:left w:val="none" w:sz="0" w:space="0" w:color="auto"/>
        <w:bottom w:val="none" w:sz="0" w:space="0" w:color="auto"/>
        <w:right w:val="none" w:sz="0" w:space="0" w:color="auto"/>
      </w:divBdr>
    </w:div>
    <w:div w:id="1380351865">
      <w:bodyDiv w:val="1"/>
      <w:marLeft w:val="0"/>
      <w:marRight w:val="0"/>
      <w:marTop w:val="0"/>
      <w:marBottom w:val="0"/>
      <w:divBdr>
        <w:top w:val="none" w:sz="0" w:space="0" w:color="auto"/>
        <w:left w:val="none" w:sz="0" w:space="0" w:color="auto"/>
        <w:bottom w:val="none" w:sz="0" w:space="0" w:color="auto"/>
        <w:right w:val="none" w:sz="0" w:space="0" w:color="auto"/>
      </w:divBdr>
    </w:div>
    <w:div w:id="1383215911">
      <w:bodyDiv w:val="1"/>
      <w:marLeft w:val="0"/>
      <w:marRight w:val="0"/>
      <w:marTop w:val="0"/>
      <w:marBottom w:val="0"/>
      <w:divBdr>
        <w:top w:val="none" w:sz="0" w:space="0" w:color="auto"/>
        <w:left w:val="none" w:sz="0" w:space="0" w:color="auto"/>
        <w:bottom w:val="none" w:sz="0" w:space="0" w:color="auto"/>
        <w:right w:val="none" w:sz="0" w:space="0" w:color="auto"/>
      </w:divBdr>
    </w:div>
    <w:div w:id="1386835413">
      <w:bodyDiv w:val="1"/>
      <w:marLeft w:val="0"/>
      <w:marRight w:val="0"/>
      <w:marTop w:val="0"/>
      <w:marBottom w:val="0"/>
      <w:divBdr>
        <w:top w:val="none" w:sz="0" w:space="0" w:color="auto"/>
        <w:left w:val="none" w:sz="0" w:space="0" w:color="auto"/>
        <w:bottom w:val="none" w:sz="0" w:space="0" w:color="auto"/>
        <w:right w:val="none" w:sz="0" w:space="0" w:color="auto"/>
      </w:divBdr>
    </w:div>
    <w:div w:id="1401561137">
      <w:bodyDiv w:val="1"/>
      <w:marLeft w:val="0"/>
      <w:marRight w:val="0"/>
      <w:marTop w:val="0"/>
      <w:marBottom w:val="0"/>
      <w:divBdr>
        <w:top w:val="none" w:sz="0" w:space="0" w:color="auto"/>
        <w:left w:val="none" w:sz="0" w:space="0" w:color="auto"/>
        <w:bottom w:val="none" w:sz="0" w:space="0" w:color="auto"/>
        <w:right w:val="none" w:sz="0" w:space="0" w:color="auto"/>
      </w:divBdr>
      <w:divsChild>
        <w:div w:id="788668984">
          <w:marLeft w:val="0"/>
          <w:marRight w:val="0"/>
          <w:marTop w:val="0"/>
          <w:marBottom w:val="0"/>
          <w:divBdr>
            <w:top w:val="none" w:sz="0" w:space="0" w:color="auto"/>
            <w:left w:val="none" w:sz="0" w:space="0" w:color="auto"/>
            <w:bottom w:val="none" w:sz="0" w:space="0" w:color="auto"/>
            <w:right w:val="none" w:sz="0" w:space="0" w:color="auto"/>
          </w:divBdr>
          <w:divsChild>
            <w:div w:id="708382372">
              <w:marLeft w:val="0"/>
              <w:marRight w:val="0"/>
              <w:marTop w:val="0"/>
              <w:marBottom w:val="0"/>
              <w:divBdr>
                <w:top w:val="none" w:sz="0" w:space="0" w:color="auto"/>
                <w:left w:val="none" w:sz="0" w:space="0" w:color="auto"/>
                <w:bottom w:val="none" w:sz="0" w:space="0" w:color="auto"/>
                <w:right w:val="none" w:sz="0" w:space="0" w:color="auto"/>
              </w:divBdr>
              <w:divsChild>
                <w:div w:id="15754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9007">
      <w:bodyDiv w:val="1"/>
      <w:marLeft w:val="0"/>
      <w:marRight w:val="0"/>
      <w:marTop w:val="0"/>
      <w:marBottom w:val="0"/>
      <w:divBdr>
        <w:top w:val="none" w:sz="0" w:space="0" w:color="auto"/>
        <w:left w:val="none" w:sz="0" w:space="0" w:color="auto"/>
        <w:bottom w:val="none" w:sz="0" w:space="0" w:color="auto"/>
        <w:right w:val="none" w:sz="0" w:space="0" w:color="auto"/>
      </w:divBdr>
    </w:div>
    <w:div w:id="1420522181">
      <w:bodyDiv w:val="1"/>
      <w:marLeft w:val="0"/>
      <w:marRight w:val="0"/>
      <w:marTop w:val="0"/>
      <w:marBottom w:val="0"/>
      <w:divBdr>
        <w:top w:val="none" w:sz="0" w:space="0" w:color="auto"/>
        <w:left w:val="none" w:sz="0" w:space="0" w:color="auto"/>
        <w:bottom w:val="none" w:sz="0" w:space="0" w:color="auto"/>
        <w:right w:val="none" w:sz="0" w:space="0" w:color="auto"/>
      </w:divBdr>
    </w:div>
    <w:div w:id="1424033167">
      <w:bodyDiv w:val="1"/>
      <w:marLeft w:val="0"/>
      <w:marRight w:val="0"/>
      <w:marTop w:val="0"/>
      <w:marBottom w:val="0"/>
      <w:divBdr>
        <w:top w:val="none" w:sz="0" w:space="0" w:color="auto"/>
        <w:left w:val="none" w:sz="0" w:space="0" w:color="auto"/>
        <w:bottom w:val="none" w:sz="0" w:space="0" w:color="auto"/>
        <w:right w:val="none" w:sz="0" w:space="0" w:color="auto"/>
      </w:divBdr>
    </w:div>
    <w:div w:id="1449547919">
      <w:bodyDiv w:val="1"/>
      <w:marLeft w:val="0"/>
      <w:marRight w:val="0"/>
      <w:marTop w:val="0"/>
      <w:marBottom w:val="0"/>
      <w:divBdr>
        <w:top w:val="none" w:sz="0" w:space="0" w:color="auto"/>
        <w:left w:val="none" w:sz="0" w:space="0" w:color="auto"/>
        <w:bottom w:val="none" w:sz="0" w:space="0" w:color="auto"/>
        <w:right w:val="none" w:sz="0" w:space="0" w:color="auto"/>
      </w:divBdr>
    </w:div>
    <w:div w:id="1457602365">
      <w:bodyDiv w:val="1"/>
      <w:marLeft w:val="0"/>
      <w:marRight w:val="0"/>
      <w:marTop w:val="0"/>
      <w:marBottom w:val="0"/>
      <w:divBdr>
        <w:top w:val="none" w:sz="0" w:space="0" w:color="auto"/>
        <w:left w:val="none" w:sz="0" w:space="0" w:color="auto"/>
        <w:bottom w:val="none" w:sz="0" w:space="0" w:color="auto"/>
        <w:right w:val="none" w:sz="0" w:space="0" w:color="auto"/>
      </w:divBdr>
    </w:div>
    <w:div w:id="1470585721">
      <w:bodyDiv w:val="1"/>
      <w:marLeft w:val="0"/>
      <w:marRight w:val="0"/>
      <w:marTop w:val="0"/>
      <w:marBottom w:val="0"/>
      <w:divBdr>
        <w:top w:val="none" w:sz="0" w:space="0" w:color="auto"/>
        <w:left w:val="none" w:sz="0" w:space="0" w:color="auto"/>
        <w:bottom w:val="none" w:sz="0" w:space="0" w:color="auto"/>
        <w:right w:val="none" w:sz="0" w:space="0" w:color="auto"/>
      </w:divBdr>
    </w:div>
    <w:div w:id="1473405454">
      <w:bodyDiv w:val="1"/>
      <w:marLeft w:val="0"/>
      <w:marRight w:val="0"/>
      <w:marTop w:val="0"/>
      <w:marBottom w:val="0"/>
      <w:divBdr>
        <w:top w:val="none" w:sz="0" w:space="0" w:color="auto"/>
        <w:left w:val="none" w:sz="0" w:space="0" w:color="auto"/>
        <w:bottom w:val="none" w:sz="0" w:space="0" w:color="auto"/>
        <w:right w:val="none" w:sz="0" w:space="0" w:color="auto"/>
      </w:divBdr>
    </w:div>
    <w:div w:id="1476609582">
      <w:bodyDiv w:val="1"/>
      <w:marLeft w:val="0"/>
      <w:marRight w:val="0"/>
      <w:marTop w:val="0"/>
      <w:marBottom w:val="0"/>
      <w:divBdr>
        <w:top w:val="none" w:sz="0" w:space="0" w:color="auto"/>
        <w:left w:val="none" w:sz="0" w:space="0" w:color="auto"/>
        <w:bottom w:val="none" w:sz="0" w:space="0" w:color="auto"/>
        <w:right w:val="none" w:sz="0" w:space="0" w:color="auto"/>
      </w:divBdr>
    </w:div>
    <w:div w:id="1488595932">
      <w:bodyDiv w:val="1"/>
      <w:marLeft w:val="0"/>
      <w:marRight w:val="0"/>
      <w:marTop w:val="0"/>
      <w:marBottom w:val="0"/>
      <w:divBdr>
        <w:top w:val="none" w:sz="0" w:space="0" w:color="auto"/>
        <w:left w:val="none" w:sz="0" w:space="0" w:color="auto"/>
        <w:bottom w:val="none" w:sz="0" w:space="0" w:color="auto"/>
        <w:right w:val="none" w:sz="0" w:space="0" w:color="auto"/>
      </w:divBdr>
    </w:div>
    <w:div w:id="1498836891">
      <w:bodyDiv w:val="1"/>
      <w:marLeft w:val="0"/>
      <w:marRight w:val="0"/>
      <w:marTop w:val="0"/>
      <w:marBottom w:val="0"/>
      <w:divBdr>
        <w:top w:val="none" w:sz="0" w:space="0" w:color="auto"/>
        <w:left w:val="none" w:sz="0" w:space="0" w:color="auto"/>
        <w:bottom w:val="none" w:sz="0" w:space="0" w:color="auto"/>
        <w:right w:val="none" w:sz="0" w:space="0" w:color="auto"/>
      </w:divBdr>
    </w:div>
    <w:div w:id="1517309307">
      <w:bodyDiv w:val="1"/>
      <w:marLeft w:val="0"/>
      <w:marRight w:val="0"/>
      <w:marTop w:val="0"/>
      <w:marBottom w:val="0"/>
      <w:divBdr>
        <w:top w:val="none" w:sz="0" w:space="0" w:color="auto"/>
        <w:left w:val="none" w:sz="0" w:space="0" w:color="auto"/>
        <w:bottom w:val="none" w:sz="0" w:space="0" w:color="auto"/>
        <w:right w:val="none" w:sz="0" w:space="0" w:color="auto"/>
      </w:divBdr>
    </w:div>
    <w:div w:id="1519270553">
      <w:bodyDiv w:val="1"/>
      <w:marLeft w:val="0"/>
      <w:marRight w:val="0"/>
      <w:marTop w:val="0"/>
      <w:marBottom w:val="0"/>
      <w:divBdr>
        <w:top w:val="none" w:sz="0" w:space="0" w:color="auto"/>
        <w:left w:val="none" w:sz="0" w:space="0" w:color="auto"/>
        <w:bottom w:val="none" w:sz="0" w:space="0" w:color="auto"/>
        <w:right w:val="none" w:sz="0" w:space="0" w:color="auto"/>
      </w:divBdr>
    </w:div>
    <w:div w:id="1530533750">
      <w:bodyDiv w:val="1"/>
      <w:marLeft w:val="0"/>
      <w:marRight w:val="0"/>
      <w:marTop w:val="0"/>
      <w:marBottom w:val="0"/>
      <w:divBdr>
        <w:top w:val="none" w:sz="0" w:space="0" w:color="auto"/>
        <w:left w:val="none" w:sz="0" w:space="0" w:color="auto"/>
        <w:bottom w:val="none" w:sz="0" w:space="0" w:color="auto"/>
        <w:right w:val="none" w:sz="0" w:space="0" w:color="auto"/>
      </w:divBdr>
    </w:div>
    <w:div w:id="1534809592">
      <w:bodyDiv w:val="1"/>
      <w:marLeft w:val="0"/>
      <w:marRight w:val="0"/>
      <w:marTop w:val="0"/>
      <w:marBottom w:val="0"/>
      <w:divBdr>
        <w:top w:val="none" w:sz="0" w:space="0" w:color="auto"/>
        <w:left w:val="none" w:sz="0" w:space="0" w:color="auto"/>
        <w:bottom w:val="none" w:sz="0" w:space="0" w:color="auto"/>
        <w:right w:val="none" w:sz="0" w:space="0" w:color="auto"/>
      </w:divBdr>
    </w:div>
    <w:div w:id="1542523157">
      <w:bodyDiv w:val="1"/>
      <w:marLeft w:val="0"/>
      <w:marRight w:val="0"/>
      <w:marTop w:val="0"/>
      <w:marBottom w:val="0"/>
      <w:divBdr>
        <w:top w:val="none" w:sz="0" w:space="0" w:color="auto"/>
        <w:left w:val="none" w:sz="0" w:space="0" w:color="auto"/>
        <w:bottom w:val="none" w:sz="0" w:space="0" w:color="auto"/>
        <w:right w:val="none" w:sz="0" w:space="0" w:color="auto"/>
      </w:divBdr>
    </w:div>
    <w:div w:id="1545217622">
      <w:bodyDiv w:val="1"/>
      <w:marLeft w:val="0"/>
      <w:marRight w:val="0"/>
      <w:marTop w:val="0"/>
      <w:marBottom w:val="0"/>
      <w:divBdr>
        <w:top w:val="none" w:sz="0" w:space="0" w:color="auto"/>
        <w:left w:val="none" w:sz="0" w:space="0" w:color="auto"/>
        <w:bottom w:val="none" w:sz="0" w:space="0" w:color="auto"/>
        <w:right w:val="none" w:sz="0" w:space="0" w:color="auto"/>
      </w:divBdr>
    </w:div>
    <w:div w:id="1546718576">
      <w:bodyDiv w:val="1"/>
      <w:marLeft w:val="0"/>
      <w:marRight w:val="0"/>
      <w:marTop w:val="0"/>
      <w:marBottom w:val="0"/>
      <w:divBdr>
        <w:top w:val="none" w:sz="0" w:space="0" w:color="auto"/>
        <w:left w:val="none" w:sz="0" w:space="0" w:color="auto"/>
        <w:bottom w:val="none" w:sz="0" w:space="0" w:color="auto"/>
        <w:right w:val="none" w:sz="0" w:space="0" w:color="auto"/>
      </w:divBdr>
    </w:div>
    <w:div w:id="1554196676">
      <w:bodyDiv w:val="1"/>
      <w:marLeft w:val="0"/>
      <w:marRight w:val="0"/>
      <w:marTop w:val="0"/>
      <w:marBottom w:val="0"/>
      <w:divBdr>
        <w:top w:val="none" w:sz="0" w:space="0" w:color="auto"/>
        <w:left w:val="none" w:sz="0" w:space="0" w:color="auto"/>
        <w:bottom w:val="none" w:sz="0" w:space="0" w:color="auto"/>
        <w:right w:val="none" w:sz="0" w:space="0" w:color="auto"/>
      </w:divBdr>
    </w:div>
    <w:div w:id="1594777882">
      <w:bodyDiv w:val="1"/>
      <w:marLeft w:val="0"/>
      <w:marRight w:val="0"/>
      <w:marTop w:val="0"/>
      <w:marBottom w:val="0"/>
      <w:divBdr>
        <w:top w:val="none" w:sz="0" w:space="0" w:color="auto"/>
        <w:left w:val="none" w:sz="0" w:space="0" w:color="auto"/>
        <w:bottom w:val="none" w:sz="0" w:space="0" w:color="auto"/>
        <w:right w:val="none" w:sz="0" w:space="0" w:color="auto"/>
      </w:divBdr>
    </w:div>
    <w:div w:id="1600988999">
      <w:bodyDiv w:val="1"/>
      <w:marLeft w:val="0"/>
      <w:marRight w:val="0"/>
      <w:marTop w:val="0"/>
      <w:marBottom w:val="0"/>
      <w:divBdr>
        <w:top w:val="none" w:sz="0" w:space="0" w:color="auto"/>
        <w:left w:val="none" w:sz="0" w:space="0" w:color="auto"/>
        <w:bottom w:val="none" w:sz="0" w:space="0" w:color="auto"/>
        <w:right w:val="none" w:sz="0" w:space="0" w:color="auto"/>
      </w:divBdr>
    </w:div>
    <w:div w:id="1612662163">
      <w:bodyDiv w:val="1"/>
      <w:marLeft w:val="0"/>
      <w:marRight w:val="0"/>
      <w:marTop w:val="0"/>
      <w:marBottom w:val="0"/>
      <w:divBdr>
        <w:top w:val="none" w:sz="0" w:space="0" w:color="auto"/>
        <w:left w:val="none" w:sz="0" w:space="0" w:color="auto"/>
        <w:bottom w:val="none" w:sz="0" w:space="0" w:color="auto"/>
        <w:right w:val="none" w:sz="0" w:space="0" w:color="auto"/>
      </w:divBdr>
    </w:div>
    <w:div w:id="1614705884">
      <w:bodyDiv w:val="1"/>
      <w:marLeft w:val="0"/>
      <w:marRight w:val="0"/>
      <w:marTop w:val="0"/>
      <w:marBottom w:val="0"/>
      <w:divBdr>
        <w:top w:val="none" w:sz="0" w:space="0" w:color="auto"/>
        <w:left w:val="none" w:sz="0" w:space="0" w:color="auto"/>
        <w:bottom w:val="none" w:sz="0" w:space="0" w:color="auto"/>
        <w:right w:val="none" w:sz="0" w:space="0" w:color="auto"/>
      </w:divBdr>
    </w:div>
    <w:div w:id="1627077136">
      <w:bodyDiv w:val="1"/>
      <w:marLeft w:val="0"/>
      <w:marRight w:val="0"/>
      <w:marTop w:val="0"/>
      <w:marBottom w:val="0"/>
      <w:divBdr>
        <w:top w:val="none" w:sz="0" w:space="0" w:color="auto"/>
        <w:left w:val="none" w:sz="0" w:space="0" w:color="auto"/>
        <w:bottom w:val="none" w:sz="0" w:space="0" w:color="auto"/>
        <w:right w:val="none" w:sz="0" w:space="0" w:color="auto"/>
      </w:divBdr>
    </w:div>
    <w:div w:id="1632787353">
      <w:bodyDiv w:val="1"/>
      <w:marLeft w:val="0"/>
      <w:marRight w:val="0"/>
      <w:marTop w:val="0"/>
      <w:marBottom w:val="0"/>
      <w:divBdr>
        <w:top w:val="none" w:sz="0" w:space="0" w:color="auto"/>
        <w:left w:val="none" w:sz="0" w:space="0" w:color="auto"/>
        <w:bottom w:val="none" w:sz="0" w:space="0" w:color="auto"/>
        <w:right w:val="none" w:sz="0" w:space="0" w:color="auto"/>
      </w:divBdr>
    </w:div>
    <w:div w:id="1640577620">
      <w:bodyDiv w:val="1"/>
      <w:marLeft w:val="0"/>
      <w:marRight w:val="0"/>
      <w:marTop w:val="0"/>
      <w:marBottom w:val="0"/>
      <w:divBdr>
        <w:top w:val="none" w:sz="0" w:space="0" w:color="auto"/>
        <w:left w:val="none" w:sz="0" w:space="0" w:color="auto"/>
        <w:bottom w:val="none" w:sz="0" w:space="0" w:color="auto"/>
        <w:right w:val="none" w:sz="0" w:space="0" w:color="auto"/>
      </w:divBdr>
    </w:div>
    <w:div w:id="1642152387">
      <w:bodyDiv w:val="1"/>
      <w:marLeft w:val="0"/>
      <w:marRight w:val="0"/>
      <w:marTop w:val="0"/>
      <w:marBottom w:val="0"/>
      <w:divBdr>
        <w:top w:val="none" w:sz="0" w:space="0" w:color="auto"/>
        <w:left w:val="none" w:sz="0" w:space="0" w:color="auto"/>
        <w:bottom w:val="none" w:sz="0" w:space="0" w:color="auto"/>
        <w:right w:val="none" w:sz="0" w:space="0" w:color="auto"/>
      </w:divBdr>
    </w:div>
    <w:div w:id="1652522066">
      <w:bodyDiv w:val="1"/>
      <w:marLeft w:val="0"/>
      <w:marRight w:val="0"/>
      <w:marTop w:val="0"/>
      <w:marBottom w:val="0"/>
      <w:divBdr>
        <w:top w:val="none" w:sz="0" w:space="0" w:color="auto"/>
        <w:left w:val="none" w:sz="0" w:space="0" w:color="auto"/>
        <w:bottom w:val="none" w:sz="0" w:space="0" w:color="auto"/>
        <w:right w:val="none" w:sz="0" w:space="0" w:color="auto"/>
      </w:divBdr>
    </w:div>
    <w:div w:id="1655455198">
      <w:bodyDiv w:val="1"/>
      <w:marLeft w:val="0"/>
      <w:marRight w:val="0"/>
      <w:marTop w:val="0"/>
      <w:marBottom w:val="0"/>
      <w:divBdr>
        <w:top w:val="none" w:sz="0" w:space="0" w:color="auto"/>
        <w:left w:val="none" w:sz="0" w:space="0" w:color="auto"/>
        <w:bottom w:val="none" w:sz="0" w:space="0" w:color="auto"/>
        <w:right w:val="none" w:sz="0" w:space="0" w:color="auto"/>
      </w:divBdr>
    </w:div>
    <w:div w:id="1664355009">
      <w:bodyDiv w:val="1"/>
      <w:marLeft w:val="0"/>
      <w:marRight w:val="0"/>
      <w:marTop w:val="0"/>
      <w:marBottom w:val="0"/>
      <w:divBdr>
        <w:top w:val="none" w:sz="0" w:space="0" w:color="auto"/>
        <w:left w:val="none" w:sz="0" w:space="0" w:color="auto"/>
        <w:bottom w:val="none" w:sz="0" w:space="0" w:color="auto"/>
        <w:right w:val="none" w:sz="0" w:space="0" w:color="auto"/>
      </w:divBdr>
    </w:div>
    <w:div w:id="1674526028">
      <w:bodyDiv w:val="1"/>
      <w:marLeft w:val="0"/>
      <w:marRight w:val="0"/>
      <w:marTop w:val="0"/>
      <w:marBottom w:val="0"/>
      <w:divBdr>
        <w:top w:val="none" w:sz="0" w:space="0" w:color="auto"/>
        <w:left w:val="none" w:sz="0" w:space="0" w:color="auto"/>
        <w:bottom w:val="none" w:sz="0" w:space="0" w:color="auto"/>
        <w:right w:val="none" w:sz="0" w:space="0" w:color="auto"/>
      </w:divBdr>
    </w:div>
    <w:div w:id="1676568240">
      <w:bodyDiv w:val="1"/>
      <w:marLeft w:val="0"/>
      <w:marRight w:val="0"/>
      <w:marTop w:val="0"/>
      <w:marBottom w:val="0"/>
      <w:divBdr>
        <w:top w:val="none" w:sz="0" w:space="0" w:color="auto"/>
        <w:left w:val="none" w:sz="0" w:space="0" w:color="auto"/>
        <w:bottom w:val="none" w:sz="0" w:space="0" w:color="auto"/>
        <w:right w:val="none" w:sz="0" w:space="0" w:color="auto"/>
      </w:divBdr>
    </w:div>
    <w:div w:id="1696882667">
      <w:bodyDiv w:val="1"/>
      <w:marLeft w:val="0"/>
      <w:marRight w:val="0"/>
      <w:marTop w:val="0"/>
      <w:marBottom w:val="0"/>
      <w:divBdr>
        <w:top w:val="none" w:sz="0" w:space="0" w:color="auto"/>
        <w:left w:val="none" w:sz="0" w:space="0" w:color="auto"/>
        <w:bottom w:val="none" w:sz="0" w:space="0" w:color="auto"/>
        <w:right w:val="none" w:sz="0" w:space="0" w:color="auto"/>
      </w:divBdr>
    </w:div>
    <w:div w:id="1712412094">
      <w:bodyDiv w:val="1"/>
      <w:marLeft w:val="0"/>
      <w:marRight w:val="0"/>
      <w:marTop w:val="0"/>
      <w:marBottom w:val="0"/>
      <w:divBdr>
        <w:top w:val="none" w:sz="0" w:space="0" w:color="auto"/>
        <w:left w:val="none" w:sz="0" w:space="0" w:color="auto"/>
        <w:bottom w:val="none" w:sz="0" w:space="0" w:color="auto"/>
        <w:right w:val="none" w:sz="0" w:space="0" w:color="auto"/>
      </w:divBdr>
    </w:div>
    <w:div w:id="1713917636">
      <w:bodyDiv w:val="1"/>
      <w:marLeft w:val="0"/>
      <w:marRight w:val="0"/>
      <w:marTop w:val="0"/>
      <w:marBottom w:val="0"/>
      <w:divBdr>
        <w:top w:val="none" w:sz="0" w:space="0" w:color="auto"/>
        <w:left w:val="none" w:sz="0" w:space="0" w:color="auto"/>
        <w:bottom w:val="none" w:sz="0" w:space="0" w:color="auto"/>
        <w:right w:val="none" w:sz="0" w:space="0" w:color="auto"/>
      </w:divBdr>
      <w:divsChild>
        <w:div w:id="564991761">
          <w:marLeft w:val="0"/>
          <w:marRight w:val="0"/>
          <w:marTop w:val="0"/>
          <w:marBottom w:val="0"/>
          <w:divBdr>
            <w:top w:val="none" w:sz="0" w:space="0" w:color="auto"/>
            <w:left w:val="none" w:sz="0" w:space="0" w:color="auto"/>
            <w:bottom w:val="none" w:sz="0" w:space="0" w:color="auto"/>
            <w:right w:val="none" w:sz="0" w:space="0" w:color="auto"/>
          </w:divBdr>
          <w:divsChild>
            <w:div w:id="1268655554">
              <w:marLeft w:val="0"/>
              <w:marRight w:val="0"/>
              <w:marTop w:val="0"/>
              <w:marBottom w:val="0"/>
              <w:divBdr>
                <w:top w:val="none" w:sz="0" w:space="0" w:color="auto"/>
                <w:left w:val="none" w:sz="0" w:space="0" w:color="auto"/>
                <w:bottom w:val="none" w:sz="0" w:space="0" w:color="auto"/>
                <w:right w:val="none" w:sz="0" w:space="0" w:color="auto"/>
              </w:divBdr>
              <w:divsChild>
                <w:div w:id="325593223">
                  <w:marLeft w:val="0"/>
                  <w:marRight w:val="0"/>
                  <w:marTop w:val="0"/>
                  <w:marBottom w:val="0"/>
                  <w:divBdr>
                    <w:top w:val="none" w:sz="0" w:space="0" w:color="auto"/>
                    <w:left w:val="none" w:sz="0" w:space="0" w:color="auto"/>
                    <w:bottom w:val="none" w:sz="0" w:space="0" w:color="auto"/>
                    <w:right w:val="none" w:sz="0" w:space="0" w:color="auto"/>
                  </w:divBdr>
                  <w:divsChild>
                    <w:div w:id="10168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6672">
      <w:bodyDiv w:val="1"/>
      <w:marLeft w:val="0"/>
      <w:marRight w:val="0"/>
      <w:marTop w:val="0"/>
      <w:marBottom w:val="0"/>
      <w:divBdr>
        <w:top w:val="none" w:sz="0" w:space="0" w:color="auto"/>
        <w:left w:val="none" w:sz="0" w:space="0" w:color="auto"/>
        <w:bottom w:val="none" w:sz="0" w:space="0" w:color="auto"/>
        <w:right w:val="none" w:sz="0" w:space="0" w:color="auto"/>
      </w:divBdr>
    </w:div>
    <w:div w:id="1778018088">
      <w:bodyDiv w:val="1"/>
      <w:marLeft w:val="0"/>
      <w:marRight w:val="0"/>
      <w:marTop w:val="0"/>
      <w:marBottom w:val="0"/>
      <w:divBdr>
        <w:top w:val="none" w:sz="0" w:space="0" w:color="auto"/>
        <w:left w:val="none" w:sz="0" w:space="0" w:color="auto"/>
        <w:bottom w:val="none" w:sz="0" w:space="0" w:color="auto"/>
        <w:right w:val="none" w:sz="0" w:space="0" w:color="auto"/>
      </w:divBdr>
    </w:div>
    <w:div w:id="1789544967">
      <w:bodyDiv w:val="1"/>
      <w:marLeft w:val="0"/>
      <w:marRight w:val="0"/>
      <w:marTop w:val="0"/>
      <w:marBottom w:val="0"/>
      <w:divBdr>
        <w:top w:val="none" w:sz="0" w:space="0" w:color="auto"/>
        <w:left w:val="none" w:sz="0" w:space="0" w:color="auto"/>
        <w:bottom w:val="none" w:sz="0" w:space="0" w:color="auto"/>
        <w:right w:val="none" w:sz="0" w:space="0" w:color="auto"/>
      </w:divBdr>
    </w:div>
    <w:div w:id="179301268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13862218">
      <w:bodyDiv w:val="1"/>
      <w:marLeft w:val="0"/>
      <w:marRight w:val="0"/>
      <w:marTop w:val="0"/>
      <w:marBottom w:val="0"/>
      <w:divBdr>
        <w:top w:val="none" w:sz="0" w:space="0" w:color="auto"/>
        <w:left w:val="none" w:sz="0" w:space="0" w:color="auto"/>
        <w:bottom w:val="none" w:sz="0" w:space="0" w:color="auto"/>
        <w:right w:val="none" w:sz="0" w:space="0" w:color="auto"/>
      </w:divBdr>
    </w:div>
    <w:div w:id="1826971148">
      <w:bodyDiv w:val="1"/>
      <w:marLeft w:val="0"/>
      <w:marRight w:val="0"/>
      <w:marTop w:val="0"/>
      <w:marBottom w:val="0"/>
      <w:divBdr>
        <w:top w:val="none" w:sz="0" w:space="0" w:color="auto"/>
        <w:left w:val="none" w:sz="0" w:space="0" w:color="auto"/>
        <w:bottom w:val="none" w:sz="0" w:space="0" w:color="auto"/>
        <w:right w:val="none" w:sz="0" w:space="0" w:color="auto"/>
      </w:divBdr>
    </w:div>
    <w:div w:id="1840735988">
      <w:bodyDiv w:val="1"/>
      <w:marLeft w:val="0"/>
      <w:marRight w:val="0"/>
      <w:marTop w:val="0"/>
      <w:marBottom w:val="0"/>
      <w:divBdr>
        <w:top w:val="none" w:sz="0" w:space="0" w:color="auto"/>
        <w:left w:val="none" w:sz="0" w:space="0" w:color="auto"/>
        <w:bottom w:val="none" w:sz="0" w:space="0" w:color="auto"/>
        <w:right w:val="none" w:sz="0" w:space="0" w:color="auto"/>
      </w:divBdr>
    </w:div>
    <w:div w:id="1850483649">
      <w:bodyDiv w:val="1"/>
      <w:marLeft w:val="0"/>
      <w:marRight w:val="0"/>
      <w:marTop w:val="0"/>
      <w:marBottom w:val="0"/>
      <w:divBdr>
        <w:top w:val="none" w:sz="0" w:space="0" w:color="auto"/>
        <w:left w:val="none" w:sz="0" w:space="0" w:color="auto"/>
        <w:bottom w:val="none" w:sz="0" w:space="0" w:color="auto"/>
        <w:right w:val="none" w:sz="0" w:space="0" w:color="auto"/>
      </w:divBdr>
    </w:div>
    <w:div w:id="1853105308">
      <w:bodyDiv w:val="1"/>
      <w:marLeft w:val="0"/>
      <w:marRight w:val="0"/>
      <w:marTop w:val="0"/>
      <w:marBottom w:val="0"/>
      <w:divBdr>
        <w:top w:val="none" w:sz="0" w:space="0" w:color="auto"/>
        <w:left w:val="none" w:sz="0" w:space="0" w:color="auto"/>
        <w:bottom w:val="none" w:sz="0" w:space="0" w:color="auto"/>
        <w:right w:val="none" w:sz="0" w:space="0" w:color="auto"/>
      </w:divBdr>
    </w:div>
    <w:div w:id="1857958886">
      <w:bodyDiv w:val="1"/>
      <w:marLeft w:val="0"/>
      <w:marRight w:val="0"/>
      <w:marTop w:val="0"/>
      <w:marBottom w:val="0"/>
      <w:divBdr>
        <w:top w:val="none" w:sz="0" w:space="0" w:color="auto"/>
        <w:left w:val="none" w:sz="0" w:space="0" w:color="auto"/>
        <w:bottom w:val="none" w:sz="0" w:space="0" w:color="auto"/>
        <w:right w:val="none" w:sz="0" w:space="0" w:color="auto"/>
      </w:divBdr>
    </w:div>
    <w:div w:id="1862473716">
      <w:bodyDiv w:val="1"/>
      <w:marLeft w:val="0"/>
      <w:marRight w:val="0"/>
      <w:marTop w:val="0"/>
      <w:marBottom w:val="0"/>
      <w:divBdr>
        <w:top w:val="none" w:sz="0" w:space="0" w:color="auto"/>
        <w:left w:val="none" w:sz="0" w:space="0" w:color="auto"/>
        <w:bottom w:val="none" w:sz="0" w:space="0" w:color="auto"/>
        <w:right w:val="none" w:sz="0" w:space="0" w:color="auto"/>
      </w:divBdr>
    </w:div>
    <w:div w:id="1867254080">
      <w:bodyDiv w:val="1"/>
      <w:marLeft w:val="0"/>
      <w:marRight w:val="0"/>
      <w:marTop w:val="0"/>
      <w:marBottom w:val="0"/>
      <w:divBdr>
        <w:top w:val="none" w:sz="0" w:space="0" w:color="auto"/>
        <w:left w:val="none" w:sz="0" w:space="0" w:color="auto"/>
        <w:bottom w:val="none" w:sz="0" w:space="0" w:color="auto"/>
        <w:right w:val="none" w:sz="0" w:space="0" w:color="auto"/>
      </w:divBdr>
    </w:div>
    <w:div w:id="1872768497">
      <w:bodyDiv w:val="1"/>
      <w:marLeft w:val="0"/>
      <w:marRight w:val="0"/>
      <w:marTop w:val="0"/>
      <w:marBottom w:val="0"/>
      <w:divBdr>
        <w:top w:val="none" w:sz="0" w:space="0" w:color="auto"/>
        <w:left w:val="none" w:sz="0" w:space="0" w:color="auto"/>
        <w:bottom w:val="none" w:sz="0" w:space="0" w:color="auto"/>
        <w:right w:val="none" w:sz="0" w:space="0" w:color="auto"/>
      </w:divBdr>
    </w:div>
    <w:div w:id="1874882092">
      <w:bodyDiv w:val="1"/>
      <w:marLeft w:val="0"/>
      <w:marRight w:val="0"/>
      <w:marTop w:val="0"/>
      <w:marBottom w:val="0"/>
      <w:divBdr>
        <w:top w:val="none" w:sz="0" w:space="0" w:color="auto"/>
        <w:left w:val="none" w:sz="0" w:space="0" w:color="auto"/>
        <w:bottom w:val="none" w:sz="0" w:space="0" w:color="auto"/>
        <w:right w:val="none" w:sz="0" w:space="0" w:color="auto"/>
      </w:divBdr>
    </w:div>
    <w:div w:id="1906332965">
      <w:bodyDiv w:val="1"/>
      <w:marLeft w:val="0"/>
      <w:marRight w:val="0"/>
      <w:marTop w:val="0"/>
      <w:marBottom w:val="0"/>
      <w:divBdr>
        <w:top w:val="none" w:sz="0" w:space="0" w:color="auto"/>
        <w:left w:val="none" w:sz="0" w:space="0" w:color="auto"/>
        <w:bottom w:val="none" w:sz="0" w:space="0" w:color="auto"/>
        <w:right w:val="none" w:sz="0" w:space="0" w:color="auto"/>
      </w:divBdr>
      <w:divsChild>
        <w:div w:id="69625546">
          <w:marLeft w:val="0"/>
          <w:marRight w:val="0"/>
          <w:marTop w:val="0"/>
          <w:marBottom w:val="0"/>
          <w:divBdr>
            <w:top w:val="none" w:sz="0" w:space="0" w:color="auto"/>
            <w:left w:val="none" w:sz="0" w:space="0" w:color="auto"/>
            <w:bottom w:val="none" w:sz="0" w:space="0" w:color="auto"/>
            <w:right w:val="none" w:sz="0" w:space="0" w:color="auto"/>
          </w:divBdr>
          <w:divsChild>
            <w:div w:id="535235685">
              <w:marLeft w:val="0"/>
              <w:marRight w:val="0"/>
              <w:marTop w:val="0"/>
              <w:marBottom w:val="0"/>
              <w:divBdr>
                <w:top w:val="none" w:sz="0" w:space="0" w:color="auto"/>
                <w:left w:val="none" w:sz="0" w:space="0" w:color="auto"/>
                <w:bottom w:val="none" w:sz="0" w:space="0" w:color="auto"/>
                <w:right w:val="none" w:sz="0" w:space="0" w:color="auto"/>
              </w:divBdr>
              <w:divsChild>
                <w:div w:id="145097222">
                  <w:marLeft w:val="0"/>
                  <w:marRight w:val="0"/>
                  <w:marTop w:val="0"/>
                  <w:marBottom w:val="0"/>
                  <w:divBdr>
                    <w:top w:val="none" w:sz="0" w:space="0" w:color="auto"/>
                    <w:left w:val="none" w:sz="0" w:space="0" w:color="auto"/>
                    <w:bottom w:val="none" w:sz="0" w:space="0" w:color="auto"/>
                    <w:right w:val="none" w:sz="0" w:space="0" w:color="auto"/>
                  </w:divBdr>
                  <w:divsChild>
                    <w:div w:id="16006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040499">
      <w:bodyDiv w:val="1"/>
      <w:marLeft w:val="0"/>
      <w:marRight w:val="0"/>
      <w:marTop w:val="0"/>
      <w:marBottom w:val="0"/>
      <w:divBdr>
        <w:top w:val="none" w:sz="0" w:space="0" w:color="auto"/>
        <w:left w:val="none" w:sz="0" w:space="0" w:color="auto"/>
        <w:bottom w:val="none" w:sz="0" w:space="0" w:color="auto"/>
        <w:right w:val="none" w:sz="0" w:space="0" w:color="auto"/>
      </w:divBdr>
    </w:div>
    <w:div w:id="1931085125">
      <w:bodyDiv w:val="1"/>
      <w:marLeft w:val="0"/>
      <w:marRight w:val="0"/>
      <w:marTop w:val="0"/>
      <w:marBottom w:val="0"/>
      <w:divBdr>
        <w:top w:val="none" w:sz="0" w:space="0" w:color="auto"/>
        <w:left w:val="none" w:sz="0" w:space="0" w:color="auto"/>
        <w:bottom w:val="none" w:sz="0" w:space="0" w:color="auto"/>
        <w:right w:val="none" w:sz="0" w:space="0" w:color="auto"/>
      </w:divBdr>
    </w:div>
    <w:div w:id="1951085793">
      <w:bodyDiv w:val="1"/>
      <w:marLeft w:val="0"/>
      <w:marRight w:val="0"/>
      <w:marTop w:val="0"/>
      <w:marBottom w:val="0"/>
      <w:divBdr>
        <w:top w:val="none" w:sz="0" w:space="0" w:color="auto"/>
        <w:left w:val="none" w:sz="0" w:space="0" w:color="auto"/>
        <w:bottom w:val="none" w:sz="0" w:space="0" w:color="auto"/>
        <w:right w:val="none" w:sz="0" w:space="0" w:color="auto"/>
      </w:divBdr>
    </w:div>
    <w:div w:id="1952469626">
      <w:bodyDiv w:val="1"/>
      <w:marLeft w:val="0"/>
      <w:marRight w:val="0"/>
      <w:marTop w:val="0"/>
      <w:marBottom w:val="0"/>
      <w:divBdr>
        <w:top w:val="none" w:sz="0" w:space="0" w:color="auto"/>
        <w:left w:val="none" w:sz="0" w:space="0" w:color="auto"/>
        <w:bottom w:val="none" w:sz="0" w:space="0" w:color="auto"/>
        <w:right w:val="none" w:sz="0" w:space="0" w:color="auto"/>
      </w:divBdr>
    </w:div>
    <w:div w:id="1961916407">
      <w:bodyDiv w:val="1"/>
      <w:marLeft w:val="0"/>
      <w:marRight w:val="0"/>
      <w:marTop w:val="0"/>
      <w:marBottom w:val="0"/>
      <w:divBdr>
        <w:top w:val="none" w:sz="0" w:space="0" w:color="auto"/>
        <w:left w:val="none" w:sz="0" w:space="0" w:color="auto"/>
        <w:bottom w:val="none" w:sz="0" w:space="0" w:color="auto"/>
        <w:right w:val="none" w:sz="0" w:space="0" w:color="auto"/>
      </w:divBdr>
    </w:div>
    <w:div w:id="1976524006">
      <w:bodyDiv w:val="1"/>
      <w:marLeft w:val="0"/>
      <w:marRight w:val="0"/>
      <w:marTop w:val="0"/>
      <w:marBottom w:val="0"/>
      <w:divBdr>
        <w:top w:val="none" w:sz="0" w:space="0" w:color="auto"/>
        <w:left w:val="none" w:sz="0" w:space="0" w:color="auto"/>
        <w:bottom w:val="none" w:sz="0" w:space="0" w:color="auto"/>
        <w:right w:val="none" w:sz="0" w:space="0" w:color="auto"/>
      </w:divBdr>
    </w:div>
    <w:div w:id="1980762045">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10136175">
      <w:bodyDiv w:val="1"/>
      <w:marLeft w:val="0"/>
      <w:marRight w:val="0"/>
      <w:marTop w:val="0"/>
      <w:marBottom w:val="0"/>
      <w:divBdr>
        <w:top w:val="none" w:sz="0" w:space="0" w:color="auto"/>
        <w:left w:val="none" w:sz="0" w:space="0" w:color="auto"/>
        <w:bottom w:val="none" w:sz="0" w:space="0" w:color="auto"/>
        <w:right w:val="none" w:sz="0" w:space="0" w:color="auto"/>
      </w:divBdr>
    </w:div>
    <w:div w:id="2020278681">
      <w:bodyDiv w:val="1"/>
      <w:marLeft w:val="0"/>
      <w:marRight w:val="0"/>
      <w:marTop w:val="0"/>
      <w:marBottom w:val="0"/>
      <w:divBdr>
        <w:top w:val="none" w:sz="0" w:space="0" w:color="auto"/>
        <w:left w:val="none" w:sz="0" w:space="0" w:color="auto"/>
        <w:bottom w:val="none" w:sz="0" w:space="0" w:color="auto"/>
        <w:right w:val="none" w:sz="0" w:space="0" w:color="auto"/>
      </w:divBdr>
    </w:div>
    <w:div w:id="2052727043">
      <w:bodyDiv w:val="1"/>
      <w:marLeft w:val="0"/>
      <w:marRight w:val="0"/>
      <w:marTop w:val="0"/>
      <w:marBottom w:val="0"/>
      <w:divBdr>
        <w:top w:val="none" w:sz="0" w:space="0" w:color="auto"/>
        <w:left w:val="none" w:sz="0" w:space="0" w:color="auto"/>
        <w:bottom w:val="none" w:sz="0" w:space="0" w:color="auto"/>
        <w:right w:val="none" w:sz="0" w:space="0" w:color="auto"/>
      </w:divBdr>
    </w:div>
    <w:div w:id="2064719702">
      <w:bodyDiv w:val="1"/>
      <w:marLeft w:val="0"/>
      <w:marRight w:val="0"/>
      <w:marTop w:val="0"/>
      <w:marBottom w:val="0"/>
      <w:divBdr>
        <w:top w:val="none" w:sz="0" w:space="0" w:color="auto"/>
        <w:left w:val="none" w:sz="0" w:space="0" w:color="auto"/>
        <w:bottom w:val="none" w:sz="0" w:space="0" w:color="auto"/>
        <w:right w:val="none" w:sz="0" w:space="0" w:color="auto"/>
      </w:divBdr>
    </w:div>
    <w:div w:id="2070222006">
      <w:bodyDiv w:val="1"/>
      <w:marLeft w:val="0"/>
      <w:marRight w:val="0"/>
      <w:marTop w:val="0"/>
      <w:marBottom w:val="0"/>
      <w:divBdr>
        <w:top w:val="none" w:sz="0" w:space="0" w:color="auto"/>
        <w:left w:val="none" w:sz="0" w:space="0" w:color="auto"/>
        <w:bottom w:val="none" w:sz="0" w:space="0" w:color="auto"/>
        <w:right w:val="none" w:sz="0" w:space="0" w:color="auto"/>
      </w:divBdr>
    </w:div>
    <w:div w:id="2077433628">
      <w:bodyDiv w:val="1"/>
      <w:marLeft w:val="0"/>
      <w:marRight w:val="0"/>
      <w:marTop w:val="0"/>
      <w:marBottom w:val="0"/>
      <w:divBdr>
        <w:top w:val="none" w:sz="0" w:space="0" w:color="auto"/>
        <w:left w:val="none" w:sz="0" w:space="0" w:color="auto"/>
        <w:bottom w:val="none" w:sz="0" w:space="0" w:color="auto"/>
        <w:right w:val="none" w:sz="0" w:space="0" w:color="auto"/>
      </w:divBdr>
    </w:div>
    <w:div w:id="2099253757">
      <w:bodyDiv w:val="1"/>
      <w:marLeft w:val="0"/>
      <w:marRight w:val="0"/>
      <w:marTop w:val="0"/>
      <w:marBottom w:val="0"/>
      <w:divBdr>
        <w:top w:val="none" w:sz="0" w:space="0" w:color="auto"/>
        <w:left w:val="none" w:sz="0" w:space="0" w:color="auto"/>
        <w:bottom w:val="none" w:sz="0" w:space="0" w:color="auto"/>
        <w:right w:val="none" w:sz="0" w:space="0" w:color="auto"/>
      </w:divBdr>
    </w:div>
    <w:div w:id="21106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coste@emory.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f.io/zxwe2/"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A6F516B0E804BAB109FB4FDE73817" ma:contentTypeVersion="9" ma:contentTypeDescription="Create a new document." ma:contentTypeScope="" ma:versionID="026ef4b5664fe5c41c68245427b98992">
  <xsd:schema xmlns:xsd="http://www.w3.org/2001/XMLSchema" xmlns:xs="http://www.w3.org/2001/XMLSchema" xmlns:p="http://schemas.microsoft.com/office/2006/metadata/properties" xmlns:ns3="59ed0711-f6a4-42b5-a2cb-dcbb14861d88" xmlns:ns4="ac4b68b9-4eb9-44a6-afe6-a2633297dab1" targetNamespace="http://schemas.microsoft.com/office/2006/metadata/properties" ma:root="true" ma:fieldsID="be6cb61ce62fcc6212c5cb07ff5ac27a" ns3:_="" ns4:_="">
    <xsd:import namespace="59ed0711-f6a4-42b5-a2cb-dcbb14861d88"/>
    <xsd:import namespace="ac4b68b9-4eb9-44a6-afe6-a2633297da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0711-f6a4-42b5-a2cb-dcbb14861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b68b9-4eb9-44a6-afe6-a2633297da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4AA1CA-5AA5-42F1-8E8B-83CB7A510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0711-f6a4-42b5-a2cb-dcbb14861d88"/>
    <ds:schemaRef ds:uri="ac4b68b9-4eb9-44a6-afe6-a2633297d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6D47A-0B10-4F67-91EB-36C5EA69A6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503487-59BF-4049-9BBF-81151C9B94DE}">
  <ds:schemaRefs>
    <ds:schemaRef ds:uri="http://schemas.microsoft.com/sharepoint/v3/contenttype/forms"/>
  </ds:schemaRefs>
</ds:datastoreItem>
</file>

<file path=customXml/itemProps4.xml><?xml version="1.0" encoding="utf-8"?>
<ds:datastoreItem xmlns:ds="http://schemas.openxmlformats.org/officeDocument/2006/customXml" ds:itemID="{77252000-56C7-2D49-8E59-639F6506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9598</Words>
  <Characters>54709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Extending the Nomological Network of Interpersonal Sexual Objectification Perpetration</vt:lpstr>
    </vt:vector>
  </TitlesOfParts>
  <Company>Emory University</Company>
  <LinksUpToDate>false</LinksUpToDate>
  <CharactersWithSpaces>64179</CharactersWithSpaces>
  <SharedDoc>false</SharedDoc>
  <HLinks>
    <vt:vector size="6" baseType="variant">
      <vt:variant>
        <vt:i4>44</vt:i4>
      </vt:variant>
      <vt:variant>
        <vt:i4>0</vt:i4>
      </vt:variant>
      <vt:variant>
        <vt:i4>0</vt:i4>
      </vt:variant>
      <vt:variant>
        <vt:i4>5</vt:i4>
      </vt:variant>
      <vt:variant>
        <vt:lpwstr>mailto:thcoste@emory.edu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the Nomological Network of Interpersonal Sexual Objectification Perpetration</dc:title>
  <dc:subject/>
  <dc:creator>Costello, Thomas</dc:creator>
  <cp:keywords/>
  <dc:description/>
  <cp:lastModifiedBy>Costello, Thomas</cp:lastModifiedBy>
  <cp:revision>3</cp:revision>
  <cp:lastPrinted>2019-09-27T17:21:00Z</cp:lastPrinted>
  <dcterms:created xsi:type="dcterms:W3CDTF">2019-10-02T20:20:00Z</dcterms:created>
  <dcterms:modified xsi:type="dcterms:W3CDTF">2019-10-21T00:16:00Z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0x01010012BA6F516B0E804BAB109FB4FDE73817</vt:lpwstr>
  </property>
</Properties>
</file>